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34003" w:rsidP="0080686B">
      <w:pPr>
        <w:framePr w:h="2791" w:hRule="exact" w:hSpace="180" w:wrap="around" w:vAnchor="text" w:hAnchor="page" w:x="1096" w:y="-383"/>
        <w:ind w:left="1800" w:hanging="720"/>
        <w:jc w:val="right"/>
      </w:pPr>
      <w:bookmarkStart w:id="0" w:name="_GoBack"/>
      <w:bookmarkEnd w:id="0"/>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765C50" w:rsidP="0080686B">
      <w:pPr>
        <w:framePr w:h="2791" w:hRule="exact" w:hSpace="180" w:wrap="around" w:vAnchor="text" w:hAnchor="page" w:x="1096" w:y="-383"/>
        <w:ind w:left="2160"/>
        <w:rPr>
          <w:rFonts w:ascii="Verdana" w:hAnsi="Verdana" w:cs="Arial"/>
          <w:b/>
          <w:color w:val="365F91"/>
          <w:sz w:val="16"/>
          <w:szCs w:val="16"/>
        </w:rPr>
      </w:pPr>
      <w:r>
        <w:rPr>
          <w:rFonts w:ascii="Verdana" w:hAnsi="Verdana" w:cs="Arial"/>
          <w:b/>
          <w:bCs/>
          <w:noProof/>
          <w:color w:val="365F91"/>
          <w:sz w:val="14"/>
          <w:szCs w:val="14"/>
        </w:rPr>
        <w:drawing>
          <wp:anchor distT="0" distB="0" distL="114300" distR="114300" simplePos="0" relativeHeight="251663360" behindDoc="0" locked="0" layoutInCell="1" allowOverlap="1" wp14:anchorId="230C71DA" wp14:editId="2F78805A">
            <wp:simplePos x="0" y="0"/>
            <wp:positionH relativeFrom="margin">
              <wp:posOffset>4216400</wp:posOffset>
            </wp:positionH>
            <wp:positionV relativeFrom="margin">
              <wp:posOffset>27305</wp:posOffset>
            </wp:positionV>
            <wp:extent cx="1802765" cy="7467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2765" cy="746760"/>
                    </a:xfrm>
                    <a:prstGeom prst="rect">
                      <a:avLst/>
                    </a:prstGeom>
                    <a:noFill/>
                    <a:ln w="9525">
                      <a:noFill/>
                      <a:miter lim="800000"/>
                      <a:headEnd/>
                      <a:tailEnd/>
                    </a:ln>
                  </pic:spPr>
                </pic:pic>
              </a:graphicData>
            </a:graphic>
            <wp14:sizeRelV relativeFrom="margin">
              <wp14:pctHeight>0</wp14:pctHeight>
            </wp14:sizeRelV>
          </wp:anchor>
        </w:drawing>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A519A" w:rsidRPr="001A519A" w:rsidRDefault="00250121" w:rsidP="00B16DF9">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C3" w:rsidRDefault="00CA4FC3"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CA4FC3" w:rsidRDefault="00CA4FC3" w:rsidP="001D09DA">
                      <w:pPr>
                        <w:ind w:right="-1259"/>
                        <w:jc w:val="center"/>
                      </w:pPr>
                    </w:p>
                  </w:txbxContent>
                </v:textbox>
              </v:shape>
            </w:pict>
          </mc:Fallback>
        </mc:AlternateContent>
      </w:r>
      <w:r w:rsidR="001A519A" w:rsidRPr="001A519A">
        <w:rPr>
          <w:rFonts w:cs="Arial"/>
          <w:b/>
        </w:rPr>
        <w:t>Additional Campaign Information</w:t>
      </w:r>
    </w:p>
    <w:p w:rsidR="00A45E94" w:rsidRPr="00E441B4" w:rsidRDefault="00DC69E2" w:rsidP="00A45E94">
      <w:pPr>
        <w:jc w:val="center"/>
        <w:rPr>
          <w:rFonts w:cs="Arial"/>
          <w:b/>
          <w:iCs/>
        </w:rPr>
      </w:pPr>
      <w:r>
        <w:rPr>
          <w:b/>
          <w:iCs/>
        </w:rPr>
        <w:t>HBS09607</w:t>
      </w:r>
      <w:r w:rsidR="00A45E94" w:rsidRPr="00E441B4">
        <w:rPr>
          <w:b/>
          <w:iCs/>
        </w:rPr>
        <w:t xml:space="preserve"> </w:t>
      </w:r>
      <w:r w:rsidR="00A45E94" w:rsidRPr="00E441B4">
        <w:rPr>
          <w:rFonts w:cs="Arial"/>
          <w:b/>
          <w:iCs/>
        </w:rPr>
        <w:t>Medical Scientist, Staff Grade (Microbiology)</w:t>
      </w:r>
    </w:p>
    <w:p w:rsidR="00A45E94" w:rsidRPr="00E441B4" w:rsidRDefault="00A45E94" w:rsidP="00A45E94">
      <w:pPr>
        <w:jc w:val="center"/>
        <w:rPr>
          <w:b/>
          <w:iCs/>
        </w:rPr>
      </w:pPr>
      <w:r w:rsidRPr="00E441B4">
        <w:rPr>
          <w:b/>
          <w:bCs/>
          <w:iCs/>
        </w:rPr>
        <w:t>M</w:t>
      </w:r>
      <w:r w:rsidRPr="00E441B4">
        <w:rPr>
          <w:rFonts w:cs="Arial"/>
          <w:b/>
          <w:bCs/>
          <w:iCs/>
        </w:rPr>
        <w:t>idland Regional Hospital Portlaoise</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0240D3">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020604" w:rsidRPr="00020604" w:rsidRDefault="00020604" w:rsidP="00020604">
      <w:pPr>
        <w:numPr>
          <w:ilvl w:val="0"/>
          <w:numId w:val="4"/>
        </w:numPr>
        <w:jc w:val="both"/>
        <w:rPr>
          <w:rFonts w:cs="Arial"/>
        </w:rPr>
      </w:pPr>
      <w:r w:rsidRPr="00020604">
        <w:rPr>
          <w:rFonts w:cs="Arial"/>
          <w:b/>
          <w:iCs/>
          <w:lang w:val="en-GB" w:eastAsia="en-US"/>
        </w:rPr>
        <w:t>Interviews are due to take place on Tuesday, 8th December 2020.</w:t>
      </w:r>
    </w:p>
    <w:p w:rsidR="006158B7" w:rsidRPr="008F59BA" w:rsidRDefault="006158B7" w:rsidP="00020604">
      <w:pPr>
        <w:numPr>
          <w:ilvl w:val="0"/>
          <w:numId w:val="4"/>
        </w:numPr>
        <w:jc w:val="both"/>
        <w:rPr>
          <w:rFonts w:cs="Arial"/>
        </w:rPr>
      </w:pPr>
      <w:r w:rsidRPr="008F59BA">
        <w:rPr>
          <w:rFonts w:cs="Arial"/>
        </w:rPr>
        <w:t xml:space="preserve">There is no need to sign 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76309">
      <w:pPr>
        <w:pStyle w:val="ListParagraph"/>
        <w:numPr>
          <w:ilvl w:val="0"/>
          <w:numId w:val="4"/>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DA4C24" w:rsidRDefault="00DC0BD4" w:rsidP="00176309">
      <w:pPr>
        <w:numPr>
          <w:ilvl w:val="0"/>
          <w:numId w:val="2"/>
        </w:numPr>
        <w:jc w:val="both"/>
        <w:rPr>
          <w:rFonts w:cs="Arial"/>
          <w:color w:val="000000" w:themeColor="text1"/>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r w:rsidR="006158B7">
        <w:rPr>
          <w:rFonts w:cs="Arial"/>
        </w:rPr>
        <w:t>One</w:t>
      </w:r>
      <w:r w:rsidR="006158B7" w:rsidRPr="0020363A">
        <w:rPr>
          <w:rFonts w:cs="Arial"/>
        </w:rPr>
        <w:t>drive, Cloud, Dropbox, Google Drive etc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w:t>
      </w:r>
      <w:r w:rsidR="006158B7" w:rsidRPr="00DA4C24">
        <w:rPr>
          <w:rFonts w:cs="Arial"/>
          <w:color w:val="000000" w:themeColor="text1"/>
        </w:rPr>
        <w:t>rive) when emailing your application.</w:t>
      </w:r>
      <w:r w:rsidR="006778F0" w:rsidRPr="00DA4C24">
        <w:rPr>
          <w:rFonts w:cs="Arial"/>
          <w:color w:val="000000" w:themeColor="text1"/>
        </w:rPr>
        <w:t xml:space="preserve">  </w:t>
      </w:r>
    </w:p>
    <w:p w:rsidR="00DC0BD4" w:rsidRPr="00DA4C24" w:rsidRDefault="00E276F0" w:rsidP="00DA4C24">
      <w:pPr>
        <w:numPr>
          <w:ilvl w:val="0"/>
          <w:numId w:val="4"/>
        </w:numPr>
        <w:jc w:val="both"/>
        <w:rPr>
          <w:rFonts w:cs="Arial"/>
          <w:color w:val="000000" w:themeColor="text1"/>
        </w:rPr>
      </w:pPr>
      <w:r w:rsidRPr="00DA4C24">
        <w:rPr>
          <w:rFonts w:cs="Arial"/>
          <w:color w:val="000000" w:themeColor="text1"/>
        </w:rPr>
        <w:t>HBS Recruit</w:t>
      </w:r>
      <w:r w:rsidR="006158B7" w:rsidRPr="00DA4C24">
        <w:rPr>
          <w:rFonts w:cs="Arial"/>
          <w:color w:val="000000" w:themeColor="text1"/>
        </w:rPr>
        <w:t xml:space="preserve"> can only accept complete applications received by the closing date and time</w:t>
      </w:r>
      <w:r w:rsidR="00340515" w:rsidRPr="00DA4C24">
        <w:rPr>
          <w:rFonts w:cs="Arial"/>
          <w:color w:val="000000" w:themeColor="text1"/>
        </w:rPr>
        <w:t xml:space="preserve"> of</w:t>
      </w:r>
      <w:r w:rsidR="00BE366C" w:rsidRPr="00DA4C24">
        <w:rPr>
          <w:rFonts w:cs="Arial"/>
          <w:b/>
          <w:color w:val="000000" w:themeColor="text1"/>
        </w:rPr>
        <w:t xml:space="preserve"> </w:t>
      </w:r>
      <w:r w:rsidR="00DA4C24" w:rsidRPr="00DA4C24">
        <w:rPr>
          <w:rFonts w:cs="Arial"/>
          <w:b/>
          <w:color w:val="000000" w:themeColor="text1"/>
        </w:rPr>
        <w:t>Monday 30th November 2020 at 12 noon</w:t>
      </w:r>
      <w:r w:rsidR="00BE366C" w:rsidRPr="00DA4C24">
        <w:rPr>
          <w:rFonts w:cs="Arial"/>
          <w:b/>
          <w:color w:val="000000" w:themeColor="text1"/>
        </w:rPr>
        <w:t>.</w:t>
      </w:r>
      <w:r w:rsidR="00C95B23" w:rsidRPr="00DA4C24">
        <w:rPr>
          <w:rFonts w:cs="Arial"/>
          <w:b/>
          <w:color w:val="000000" w:themeColor="text1"/>
        </w:rPr>
        <w:t xml:space="preserve">  </w:t>
      </w:r>
      <w:r w:rsidR="00C95B23" w:rsidRPr="00DA4C24">
        <w:rPr>
          <w:rFonts w:cs="Arial"/>
          <w:color w:val="000000" w:themeColor="text1"/>
        </w:rPr>
        <w:t>If you submit more than one application the last one received prior to the closing date and time is the version that will be considered.</w:t>
      </w:r>
    </w:p>
    <w:p w:rsidR="00DC0BD4" w:rsidRDefault="00DC0BD4" w:rsidP="006C3390">
      <w:pPr>
        <w:jc w:val="both"/>
        <w:rPr>
          <w:rFonts w:cs="Arial"/>
        </w:rPr>
      </w:pPr>
    </w:p>
    <w:p w:rsidR="006A2C36" w:rsidRDefault="006A2C36" w:rsidP="006C3390">
      <w:pPr>
        <w:jc w:val="both"/>
        <w:rPr>
          <w:rFonts w:cs="Arial"/>
        </w:rPr>
      </w:pPr>
      <w:r>
        <w:rPr>
          <w:rFonts w:cs="Arial"/>
        </w:rPr>
        <w:t>Please note that HBS Recruit 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lastRenderedPageBreak/>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A45E94" w:rsidRDefault="006158B7" w:rsidP="00A539BF">
      <w:pPr>
        <w:numPr>
          <w:ilvl w:val="0"/>
          <w:numId w:val="5"/>
        </w:numPr>
        <w:jc w:val="both"/>
        <w:rPr>
          <w:rFonts w:cs="Arial"/>
          <w:bCs/>
        </w:rPr>
      </w:pPr>
      <w:r w:rsidRPr="00A45E94">
        <w:rPr>
          <w:rFonts w:cs="Arial"/>
          <w:bCs/>
        </w:rPr>
        <w:t xml:space="preserve">We would like to highlight to you that interviews form a part of the selection process.  The </w:t>
      </w:r>
      <w:smartTag w:uri="urn:schemas-microsoft-com:office:smarttags" w:element="stockticker">
        <w:r w:rsidRPr="00A45E94">
          <w:rPr>
            <w:rFonts w:cs="Arial"/>
            <w:bCs/>
          </w:rPr>
          <w:t>HSE</w:t>
        </w:r>
      </w:smartTag>
      <w:r w:rsidRPr="00A45E94">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45E94">
          <w:rPr>
            <w:rFonts w:cs="Arial"/>
            <w:bCs/>
          </w:rPr>
          <w:t>HSE</w:t>
        </w:r>
      </w:smartTag>
      <w:r w:rsidRPr="00A45E94">
        <w:rPr>
          <w:rFonts w:cs="Arial"/>
          <w:bCs/>
        </w:rPr>
        <w:t xml:space="preserve"> determines the merit, appropriateness and relevance of references. The </w:t>
      </w:r>
      <w:smartTag w:uri="urn:schemas-microsoft-com:office:smarttags" w:element="stockticker">
        <w:r w:rsidRPr="00A45E94">
          <w:rPr>
            <w:rFonts w:cs="Arial"/>
            <w:bCs/>
          </w:rPr>
          <w:t>HSE</w:t>
        </w:r>
      </w:smartTag>
      <w:r w:rsidRPr="00A45E94">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45E94">
        <w:rPr>
          <w:rFonts w:cs="Arial"/>
        </w:rPr>
        <w:t xml:space="preserve">All previous employers may be contacted for reference purposes. </w:t>
      </w:r>
      <w:r w:rsidRPr="00A45E94">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45E94">
          <w:rPr>
            <w:rFonts w:cs="Arial"/>
            <w:bCs/>
          </w:rPr>
          <w:t>HSE</w:t>
        </w:r>
      </w:smartTag>
      <w:r w:rsidRPr="00A45E94">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Default="006158B7" w:rsidP="00A45E94">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541A2C" w:rsidRDefault="00541A2C" w:rsidP="00541A2C">
      <w:pPr>
        <w:jc w:val="both"/>
        <w:rPr>
          <w:rFonts w:cs="Arial"/>
          <w:color w:val="FF0000"/>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Pr="00156C6F" w:rsidRDefault="00156C6F" w:rsidP="00156C6F">
      <w:pPr>
        <w:jc w:val="both"/>
        <w:rPr>
          <w:rFonts w:cs="Arial"/>
        </w:rPr>
      </w:pPr>
      <w:r w:rsidRPr="00156C6F">
        <w:rPr>
          <w:rFonts w:cs="Arial"/>
          <w:iCs/>
        </w:rPr>
        <w:t>Due to the urgent requirement of this post interviews will take place as soon as possible once the closing date has passed.  This means that you may be called forward for interview at very short notice.</w:t>
      </w:r>
    </w:p>
    <w:p w:rsidR="00156C6F" w:rsidRPr="00C154F3" w:rsidRDefault="00156C6F"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C12980" w:rsidRPr="00C12980">
        <w:rPr>
          <w:rFonts w:cs="Arial"/>
        </w:rPr>
        <w:t>Maria Mc</w:t>
      </w:r>
      <w:r w:rsidR="00C12980">
        <w:rPr>
          <w:rFonts w:cs="Arial"/>
        </w:rPr>
        <w:t>D</w:t>
      </w:r>
      <w:r w:rsidR="00C12980" w:rsidRPr="00C12980">
        <w:rPr>
          <w:rFonts w:cs="Arial"/>
        </w:rPr>
        <w:t>aid</w:t>
      </w:r>
      <w:r w:rsidR="00340515" w:rsidRPr="00C12980">
        <w:rPr>
          <w:rFonts w:cs="Arial"/>
        </w:rPr>
        <w:t>,</w:t>
      </w:r>
      <w:r w:rsidR="001A519A" w:rsidRPr="00C12980">
        <w:rPr>
          <w:rFonts w:cs="Arial"/>
          <w:iCs/>
        </w:rPr>
        <w:t xml:space="preserve"> Campaign </w:t>
      </w:r>
      <w:r w:rsidR="004C189E" w:rsidRPr="00C12980">
        <w:rPr>
          <w:rFonts w:cs="Arial"/>
          <w:iCs/>
        </w:rPr>
        <w:t>Lead</w:t>
      </w:r>
      <w:r w:rsidR="001A519A" w:rsidRPr="00C12980">
        <w:rPr>
          <w:rFonts w:cs="Arial"/>
          <w:iCs/>
        </w:rPr>
        <w:t xml:space="preserve"> (</w:t>
      </w:r>
      <w:r w:rsidR="00C12980" w:rsidRPr="00C12980">
        <w:rPr>
          <w:rFonts w:cs="Arial"/>
          <w:iCs/>
        </w:rPr>
        <w:t>maria.mcdaid</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A45E94" w:rsidRDefault="00A45E94" w:rsidP="006C3390">
      <w:pPr>
        <w:autoSpaceDE w:val="0"/>
        <w:autoSpaceDN w:val="0"/>
        <w:adjustRightInd w:val="0"/>
        <w:jc w:val="both"/>
        <w:rPr>
          <w:rFonts w:cs="Arial"/>
          <w:b/>
          <w:color w:val="000000" w:themeColor="text1"/>
        </w:rPr>
      </w:pPr>
    </w:p>
    <w:p w:rsidR="00A45E94" w:rsidRDefault="00A45E94" w:rsidP="006C3390">
      <w:pPr>
        <w:autoSpaceDE w:val="0"/>
        <w:autoSpaceDN w:val="0"/>
        <w:adjustRightInd w:val="0"/>
        <w:jc w:val="both"/>
        <w:rPr>
          <w:rFonts w:cs="Arial"/>
          <w:b/>
          <w:color w:val="000000" w:themeColor="text1"/>
        </w:rPr>
      </w:pPr>
    </w:p>
    <w:p w:rsidR="00A45E94" w:rsidRDefault="00A45E94" w:rsidP="006C3390">
      <w:pPr>
        <w:autoSpaceDE w:val="0"/>
        <w:autoSpaceDN w:val="0"/>
        <w:adjustRightInd w:val="0"/>
        <w:jc w:val="both"/>
        <w:rPr>
          <w:rFonts w:cs="Arial"/>
          <w:b/>
          <w:color w:val="000000" w:themeColor="text1"/>
        </w:rPr>
      </w:pPr>
    </w:p>
    <w:p w:rsidR="00A45E94" w:rsidRDefault="00A45E94" w:rsidP="006C3390">
      <w:pPr>
        <w:autoSpaceDE w:val="0"/>
        <w:autoSpaceDN w:val="0"/>
        <w:adjustRightInd w:val="0"/>
        <w:jc w:val="both"/>
        <w:rPr>
          <w:rFonts w:cs="Arial"/>
          <w:b/>
          <w:color w:val="000000" w:themeColor="text1"/>
        </w:rPr>
      </w:pPr>
    </w:p>
    <w:p w:rsidR="00A45E94" w:rsidRPr="00340515" w:rsidRDefault="00A45E94"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lastRenderedPageBreak/>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1"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A45E94" w:rsidRDefault="00A45E94" w:rsidP="00A45E94">
      <w:pPr>
        <w:jc w:val="both"/>
        <w:rPr>
          <w:rFonts w:cs="Arial"/>
          <w:b/>
          <w:bCs/>
          <w:iCs/>
        </w:rPr>
      </w:pPr>
      <w:r>
        <w:rPr>
          <w:rFonts w:cs="Arial"/>
          <w:b/>
          <w:bCs/>
          <w:iCs/>
        </w:rPr>
        <w:t>C</w:t>
      </w:r>
      <w:r w:rsidRPr="00E766A5">
        <w:rPr>
          <w:rFonts w:cs="Arial"/>
          <w:b/>
          <w:bCs/>
          <w:iCs/>
        </w:rPr>
        <w:t>andidate</w:t>
      </w:r>
      <w:r>
        <w:rPr>
          <w:rFonts w:cs="Arial"/>
          <w:b/>
          <w:bCs/>
          <w:iCs/>
        </w:rPr>
        <w:t>s</w:t>
      </w:r>
      <w:r w:rsidRPr="00E766A5">
        <w:rPr>
          <w:rFonts w:cs="Arial"/>
          <w:b/>
          <w:bCs/>
          <w:iCs/>
        </w:rPr>
        <w:t xml:space="preserve"> must have at the latest date of application: - </w:t>
      </w:r>
    </w:p>
    <w:p w:rsidR="00A45E94" w:rsidRPr="00FA1AF0" w:rsidRDefault="00A45E94" w:rsidP="00A45E94">
      <w:pPr>
        <w:rPr>
          <w:rFonts w:cs="Arial"/>
          <w:b/>
        </w:rPr>
      </w:pPr>
    </w:p>
    <w:p w:rsidR="00DC69E2" w:rsidRPr="00051CBE" w:rsidRDefault="00DC69E2" w:rsidP="00DC69E2">
      <w:pPr>
        <w:rPr>
          <w:rFonts w:cs="Arial"/>
          <w:b/>
          <w:bCs/>
          <w:u w:val="single"/>
        </w:rPr>
      </w:pPr>
      <w:r w:rsidRPr="00051CBE">
        <w:rPr>
          <w:rFonts w:cs="Arial"/>
          <w:b/>
          <w:bCs/>
          <w:u w:val="single"/>
        </w:rPr>
        <w:t>Category A:</w:t>
      </w:r>
    </w:p>
    <w:p w:rsidR="00DC69E2" w:rsidRPr="00051CBE" w:rsidRDefault="00DC69E2" w:rsidP="00DC69E2">
      <w:pPr>
        <w:rPr>
          <w:rFonts w:cs="Arial"/>
          <w:b/>
          <w:bCs/>
        </w:rPr>
      </w:pPr>
      <w:r w:rsidRPr="00051CBE">
        <w:rPr>
          <w:rFonts w:cs="Arial"/>
          <w:b/>
          <w:bCs/>
        </w:rPr>
        <w:t xml:space="preserve">Individuals who qualify </w:t>
      </w:r>
      <w:r w:rsidRPr="00051CBE">
        <w:rPr>
          <w:rFonts w:cs="Arial"/>
          <w:b/>
          <w:bCs/>
          <w:u w:val="single"/>
        </w:rPr>
        <w:t xml:space="preserve">on or after </w:t>
      </w:r>
      <w:r w:rsidRPr="00051CBE">
        <w:rPr>
          <w:rFonts w:cs="Arial"/>
          <w:b/>
          <w:bCs/>
        </w:rPr>
        <w:t>the 31</w:t>
      </w:r>
      <w:r w:rsidRPr="00051CBE">
        <w:rPr>
          <w:rFonts w:cs="Arial"/>
          <w:b/>
          <w:bCs/>
          <w:vertAlign w:val="superscript"/>
        </w:rPr>
        <w:t>st</w:t>
      </w:r>
      <w:r w:rsidRPr="00051CBE">
        <w:rPr>
          <w:rFonts w:cs="Arial"/>
          <w:b/>
          <w:bCs/>
        </w:rPr>
        <w:t xml:space="preserve"> March 2019 must:</w:t>
      </w:r>
    </w:p>
    <w:p w:rsidR="00DC69E2" w:rsidRPr="00051CBE" w:rsidRDefault="00DC69E2" w:rsidP="00DC69E2">
      <w:pPr>
        <w:jc w:val="both"/>
        <w:rPr>
          <w:rFonts w:cs="Arial"/>
        </w:rPr>
      </w:pPr>
    </w:p>
    <w:tbl>
      <w:tblPr>
        <w:tblStyle w:val="TableGrid"/>
        <w:tblW w:w="0" w:type="auto"/>
        <w:tblLook w:val="04A0" w:firstRow="1" w:lastRow="0" w:firstColumn="1" w:lastColumn="0" w:noHBand="0" w:noVBand="1"/>
      </w:tblPr>
      <w:tblGrid>
        <w:gridCol w:w="988"/>
        <w:gridCol w:w="3028"/>
        <w:gridCol w:w="4280"/>
      </w:tblGrid>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(a)</w:t>
            </w:r>
          </w:p>
        </w:tc>
        <w:tc>
          <w:tcPr>
            <w:tcW w:w="7308" w:type="dxa"/>
            <w:gridSpan w:val="2"/>
            <w:tcBorders>
              <w:top w:val="nil"/>
              <w:left w:val="nil"/>
              <w:bottom w:val="nil"/>
              <w:right w:val="nil"/>
            </w:tcBorders>
          </w:tcPr>
          <w:p w:rsidR="00DC69E2" w:rsidRPr="00051CBE" w:rsidRDefault="00DC69E2" w:rsidP="00D6397C">
            <w:pPr>
              <w:rPr>
                <w:rFonts w:cs="Arial"/>
              </w:rPr>
            </w:pPr>
            <w:r w:rsidRPr="00051CBE">
              <w:rPr>
                <w:rFonts w:cs="Arial"/>
              </w:rPr>
              <w:t xml:space="preserve">Possess a qualification approved by the Medical Scientists Registration Board at CORU: See: </w:t>
            </w:r>
            <w:hyperlink r:id="rId13" w:history="1">
              <w:r w:rsidRPr="00051CBE">
                <w:rPr>
                  <w:rStyle w:val="Hyperlink"/>
                  <w:rFonts w:cs="Arial"/>
                </w:rPr>
                <w:t>https://www.coru.ie/about-us/registration-boards/medical-scientists-registration-board/apply-for-registration/</w:t>
              </w:r>
            </w:hyperlink>
          </w:p>
          <w:p w:rsidR="00DC69E2" w:rsidRPr="00051CBE" w:rsidRDefault="00DC69E2" w:rsidP="00D6397C">
            <w:pPr>
              <w:jc w:val="both"/>
              <w:rPr>
                <w:rFonts w:cs="Arial"/>
              </w:rPr>
            </w:pP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tc>
        <w:tc>
          <w:tcPr>
            <w:tcW w:w="3028" w:type="dxa"/>
            <w:tcBorders>
              <w:top w:val="nil"/>
              <w:left w:val="nil"/>
              <w:bottom w:val="nil"/>
              <w:right w:val="nil"/>
            </w:tcBorders>
          </w:tcPr>
          <w:p w:rsidR="00DC69E2" w:rsidRPr="00051CBE" w:rsidRDefault="00DC69E2" w:rsidP="00D6397C">
            <w:pPr>
              <w:jc w:val="right"/>
              <w:rPr>
                <w:rFonts w:cs="Arial"/>
                <w:b/>
              </w:rPr>
            </w:pPr>
            <w:r w:rsidRPr="00051CBE">
              <w:rPr>
                <w:rFonts w:cs="Arial"/>
                <w:b/>
              </w:rPr>
              <w:t>Or</w:t>
            </w:r>
          </w:p>
        </w:tc>
        <w:tc>
          <w:tcPr>
            <w:tcW w:w="428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(b)</w:t>
            </w:r>
          </w:p>
        </w:tc>
        <w:tc>
          <w:tcPr>
            <w:tcW w:w="7308" w:type="dxa"/>
            <w:gridSpan w:val="2"/>
            <w:tcBorders>
              <w:top w:val="nil"/>
              <w:left w:val="nil"/>
              <w:bottom w:val="nil"/>
              <w:right w:val="nil"/>
            </w:tcBorders>
          </w:tcPr>
          <w:p w:rsidR="00DC69E2" w:rsidRPr="00051CBE" w:rsidRDefault="00DC69E2" w:rsidP="00D6397C">
            <w:pPr>
              <w:jc w:val="both"/>
              <w:rPr>
                <w:rFonts w:cs="Arial"/>
              </w:rPr>
            </w:pPr>
            <w:r w:rsidRPr="00051CBE">
              <w:rPr>
                <w:rFonts w:cs="Arial"/>
              </w:rPr>
              <w:t>Hold a qualification recognised by the Medical Scientists Registration Board at CORU.</w:t>
            </w: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tc>
        <w:tc>
          <w:tcPr>
            <w:tcW w:w="3028" w:type="dxa"/>
            <w:tcBorders>
              <w:top w:val="nil"/>
              <w:left w:val="nil"/>
              <w:bottom w:val="nil"/>
              <w:right w:val="nil"/>
            </w:tcBorders>
          </w:tcPr>
          <w:p w:rsidR="00DC69E2" w:rsidRPr="00051CBE" w:rsidRDefault="00DC69E2" w:rsidP="00D6397C">
            <w:pPr>
              <w:jc w:val="right"/>
              <w:rPr>
                <w:rStyle w:val="CommentReference"/>
                <w:rFonts w:cs="Arial"/>
                <w:b/>
                <w:sz w:val="20"/>
              </w:rPr>
            </w:pPr>
            <w:r w:rsidRPr="00051CBE">
              <w:rPr>
                <w:rStyle w:val="CommentReference"/>
                <w:rFonts w:cs="Arial"/>
                <w:b/>
                <w:sz w:val="20"/>
              </w:rPr>
              <w:t>Or</w:t>
            </w:r>
          </w:p>
        </w:tc>
        <w:tc>
          <w:tcPr>
            <w:tcW w:w="4280" w:type="dxa"/>
            <w:tcBorders>
              <w:top w:val="nil"/>
              <w:left w:val="nil"/>
              <w:bottom w:val="nil"/>
              <w:right w:val="nil"/>
            </w:tcBorders>
          </w:tcPr>
          <w:p w:rsidR="00DC69E2" w:rsidRPr="00051CBE" w:rsidRDefault="00DC69E2" w:rsidP="00D6397C">
            <w:pPr>
              <w:jc w:val="both"/>
              <w:rPr>
                <w:rStyle w:val="CommentReference"/>
                <w:rFonts w:cs="Arial"/>
                <w:sz w:val="20"/>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(c)</w:t>
            </w:r>
          </w:p>
        </w:tc>
        <w:tc>
          <w:tcPr>
            <w:tcW w:w="7308" w:type="dxa"/>
            <w:gridSpan w:val="2"/>
            <w:tcBorders>
              <w:top w:val="nil"/>
              <w:left w:val="nil"/>
              <w:bottom w:val="nil"/>
              <w:right w:val="nil"/>
            </w:tcBorders>
          </w:tcPr>
          <w:p w:rsidR="00DC69E2" w:rsidRPr="00051CBE" w:rsidRDefault="00DC69E2" w:rsidP="00D6397C">
            <w:pPr>
              <w:jc w:val="both"/>
              <w:rPr>
                <w:rFonts w:cs="Arial"/>
              </w:rPr>
            </w:pPr>
            <w:r w:rsidRPr="00051CBE">
              <w:rPr>
                <w:rFonts w:cs="Arial"/>
              </w:rPr>
              <w:t>Submit proof to the HSE of their application for recognition of their qualifications from the Medical Scientists Registration Board at CORU by a date specified by the HSE. (HBS Recruit or other recruiting unit will specify this date, generally pre interview date).</w:t>
            </w:r>
          </w:p>
          <w:p w:rsidR="00DC69E2" w:rsidRPr="00051CBE" w:rsidRDefault="00DC69E2" w:rsidP="00D6397C">
            <w:pPr>
              <w:jc w:val="both"/>
              <w:rPr>
                <w:rStyle w:val="CommentReference"/>
                <w:rFonts w:cs="Arial"/>
                <w:sz w:val="20"/>
              </w:rPr>
            </w:pPr>
          </w:p>
        </w:tc>
      </w:tr>
      <w:tr w:rsidR="00DC69E2" w:rsidRPr="00051CBE" w:rsidTr="00D6397C">
        <w:trPr>
          <w:trHeight w:val="445"/>
        </w:trPr>
        <w:tc>
          <w:tcPr>
            <w:tcW w:w="988" w:type="dxa"/>
            <w:tcBorders>
              <w:top w:val="nil"/>
              <w:left w:val="nil"/>
              <w:bottom w:val="nil"/>
              <w:right w:val="nil"/>
            </w:tcBorders>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028" w:type="dxa"/>
            <w:tcBorders>
              <w:top w:val="nil"/>
              <w:left w:val="nil"/>
              <w:bottom w:val="nil"/>
              <w:right w:val="nil"/>
            </w:tcBorders>
          </w:tcPr>
          <w:p w:rsidR="00DC69E2" w:rsidRPr="00051CBE" w:rsidRDefault="00DC69E2" w:rsidP="00D6397C">
            <w:pPr>
              <w:rPr>
                <w:rFonts w:cs="Arial"/>
                <w:b/>
              </w:rPr>
            </w:pPr>
          </w:p>
          <w:p w:rsidR="00DC69E2" w:rsidRPr="00051CBE" w:rsidRDefault="00DC69E2" w:rsidP="00D6397C">
            <w:pPr>
              <w:jc w:val="right"/>
              <w:rPr>
                <w:rFonts w:cs="Arial"/>
                <w:b/>
              </w:rPr>
            </w:pPr>
            <w:r w:rsidRPr="00051CBE">
              <w:rPr>
                <w:rFonts w:cs="Arial"/>
                <w:b/>
              </w:rPr>
              <w:t>And</w:t>
            </w:r>
          </w:p>
        </w:tc>
        <w:tc>
          <w:tcPr>
            <w:tcW w:w="428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(d)</w:t>
            </w:r>
          </w:p>
        </w:tc>
        <w:tc>
          <w:tcPr>
            <w:tcW w:w="7308" w:type="dxa"/>
            <w:gridSpan w:val="2"/>
            <w:tcBorders>
              <w:top w:val="nil"/>
              <w:left w:val="nil"/>
              <w:bottom w:val="nil"/>
              <w:right w:val="nil"/>
            </w:tcBorders>
          </w:tcPr>
          <w:p w:rsidR="00DC69E2" w:rsidRPr="00051CBE" w:rsidRDefault="00DC69E2" w:rsidP="00D6397C">
            <w:pPr>
              <w:jc w:val="both"/>
              <w:rPr>
                <w:rFonts w:cs="Arial"/>
                <w:bCs/>
              </w:rPr>
            </w:pPr>
            <w:r w:rsidRPr="00051CBE">
              <w:rPr>
                <w:rFonts w:cs="Arial"/>
                <w:bCs/>
              </w:rPr>
              <w:t>Have the requisite knowledge and ability (including a high standard of suitability and professional ability) for the proper discharge of the duties of the office.</w:t>
            </w:r>
          </w:p>
          <w:p w:rsidR="00DC69E2" w:rsidRPr="00051CBE" w:rsidRDefault="00DC69E2" w:rsidP="00D6397C">
            <w:pPr>
              <w:jc w:val="both"/>
              <w:rPr>
                <w:rFonts w:cs="Arial"/>
              </w:rPr>
            </w:pPr>
          </w:p>
        </w:tc>
      </w:tr>
    </w:tbl>
    <w:p w:rsidR="00DC69E2" w:rsidRPr="00051CBE" w:rsidRDefault="00DC69E2" w:rsidP="00DC69E2">
      <w:pPr>
        <w:jc w:val="center"/>
        <w:rPr>
          <w:rFonts w:cs="Arial"/>
          <w:b/>
          <w:bCs/>
        </w:rPr>
      </w:pPr>
    </w:p>
    <w:p w:rsidR="00DC69E2" w:rsidRPr="00051CBE" w:rsidRDefault="00DC69E2" w:rsidP="00DC69E2">
      <w:pPr>
        <w:rPr>
          <w:rFonts w:cs="Arial"/>
          <w:b/>
          <w:bCs/>
          <w:u w:val="single"/>
        </w:rPr>
      </w:pPr>
      <w:r w:rsidRPr="00051CBE">
        <w:rPr>
          <w:rFonts w:cs="Arial"/>
          <w:b/>
          <w:bCs/>
          <w:u w:val="single"/>
        </w:rPr>
        <w:t>Category B</w:t>
      </w:r>
    </w:p>
    <w:p w:rsidR="00DC69E2" w:rsidRPr="00051CBE" w:rsidRDefault="00DC69E2" w:rsidP="00DC69E2">
      <w:pPr>
        <w:rPr>
          <w:rFonts w:cs="Arial"/>
          <w:b/>
          <w:bCs/>
          <w:u w:val="single"/>
        </w:rPr>
      </w:pPr>
    </w:p>
    <w:tbl>
      <w:tblPr>
        <w:tblStyle w:val="TableGrid"/>
        <w:tblW w:w="0" w:type="auto"/>
        <w:tblLook w:val="04A0" w:firstRow="1" w:lastRow="0" w:firstColumn="1" w:lastColumn="0" w:noHBand="0" w:noVBand="1"/>
      </w:tblPr>
      <w:tblGrid>
        <w:gridCol w:w="988"/>
        <w:gridCol w:w="3028"/>
        <w:gridCol w:w="90"/>
        <w:gridCol w:w="4190"/>
      </w:tblGrid>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rPr>
            </w:pPr>
            <w:r w:rsidRPr="00051CBE">
              <w:rPr>
                <w:rFonts w:cs="Arial"/>
              </w:rPr>
              <w:t>(i)</w:t>
            </w:r>
          </w:p>
        </w:tc>
        <w:tc>
          <w:tcPr>
            <w:tcW w:w="7308" w:type="dxa"/>
            <w:gridSpan w:val="3"/>
            <w:tcBorders>
              <w:top w:val="nil"/>
              <w:left w:val="nil"/>
              <w:bottom w:val="nil"/>
              <w:right w:val="nil"/>
            </w:tcBorders>
          </w:tcPr>
          <w:p w:rsidR="00DC69E2" w:rsidRPr="00051CBE" w:rsidRDefault="00DC69E2" w:rsidP="00D6397C">
            <w:pPr>
              <w:rPr>
                <w:rFonts w:cs="Arial"/>
                <w:b/>
                <w:bCs/>
              </w:rPr>
            </w:pPr>
            <w:r w:rsidRPr="00051CBE">
              <w:rPr>
                <w:rFonts w:cs="Arial"/>
                <w:b/>
                <w:bCs/>
              </w:rPr>
              <w:t xml:space="preserve">Individuals who qualified </w:t>
            </w:r>
            <w:r w:rsidRPr="00051CBE">
              <w:rPr>
                <w:rFonts w:cs="Arial"/>
                <w:b/>
                <w:bCs/>
                <w:u w:val="single"/>
              </w:rPr>
              <w:t xml:space="preserve">before </w:t>
            </w:r>
            <w:r w:rsidRPr="00051CBE">
              <w:rPr>
                <w:rFonts w:cs="Arial"/>
                <w:b/>
                <w:bCs/>
              </w:rPr>
              <w:t xml:space="preserve">the 31st March 2019 and </w:t>
            </w:r>
            <w:r w:rsidRPr="00051CBE">
              <w:rPr>
                <w:rFonts w:cs="Arial"/>
                <w:b/>
                <w:bCs/>
                <w:u w:val="single"/>
              </w:rPr>
              <w:t>have not</w:t>
            </w:r>
            <w:r w:rsidRPr="00051CBE">
              <w:rPr>
                <w:rFonts w:cs="Arial"/>
                <w:b/>
                <w:bCs/>
              </w:rPr>
              <w:t xml:space="preserve"> engaged in the practice of the profession in the Republic of Ireland must:</w:t>
            </w: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rPr>
            </w:pPr>
          </w:p>
        </w:tc>
        <w:tc>
          <w:tcPr>
            <w:tcW w:w="3028" w:type="dxa"/>
            <w:tcBorders>
              <w:top w:val="nil"/>
              <w:left w:val="nil"/>
              <w:bottom w:val="nil"/>
              <w:right w:val="nil"/>
            </w:tcBorders>
          </w:tcPr>
          <w:p w:rsidR="00DC69E2" w:rsidRPr="00051CBE" w:rsidRDefault="00DC69E2" w:rsidP="00D6397C">
            <w:pPr>
              <w:jc w:val="right"/>
              <w:rPr>
                <w:rFonts w:cs="Arial"/>
                <w:b/>
              </w:rPr>
            </w:pPr>
            <w:r w:rsidRPr="00051CBE">
              <w:rPr>
                <w:rFonts w:cs="Arial"/>
                <w:b/>
              </w:rPr>
              <w:t>Or</w:t>
            </w:r>
          </w:p>
        </w:tc>
        <w:tc>
          <w:tcPr>
            <w:tcW w:w="4280" w:type="dxa"/>
            <w:gridSpan w:val="2"/>
            <w:tcBorders>
              <w:top w:val="nil"/>
              <w:left w:val="nil"/>
              <w:bottom w:val="nil"/>
              <w:right w:val="nil"/>
            </w:tcBorders>
          </w:tcPr>
          <w:p w:rsidR="00DC69E2" w:rsidRPr="00051CBE" w:rsidRDefault="00DC69E2" w:rsidP="00D6397C">
            <w:pPr>
              <w:jc w:val="both"/>
              <w:rPr>
                <w:rFonts w:cs="Arial"/>
              </w:rPr>
            </w:pP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rPr>
            </w:pPr>
            <w:r w:rsidRPr="00051CBE">
              <w:rPr>
                <w:rFonts w:cs="Arial"/>
              </w:rPr>
              <w:t>(ii)</w:t>
            </w:r>
          </w:p>
        </w:tc>
        <w:tc>
          <w:tcPr>
            <w:tcW w:w="7308" w:type="dxa"/>
            <w:gridSpan w:val="3"/>
            <w:tcBorders>
              <w:top w:val="nil"/>
              <w:left w:val="nil"/>
              <w:bottom w:val="nil"/>
              <w:right w:val="nil"/>
            </w:tcBorders>
          </w:tcPr>
          <w:p w:rsidR="00DC69E2" w:rsidRPr="00051CBE" w:rsidRDefault="00DC69E2" w:rsidP="00D6397C">
            <w:pPr>
              <w:rPr>
                <w:rFonts w:cs="Arial"/>
                <w:b/>
                <w:bCs/>
              </w:rPr>
            </w:pPr>
            <w:r w:rsidRPr="00051CBE">
              <w:rPr>
                <w:rFonts w:cs="Arial"/>
                <w:b/>
                <w:bCs/>
              </w:rPr>
              <w:t xml:space="preserve">Individuals who qualified </w:t>
            </w:r>
            <w:r w:rsidRPr="00051CBE">
              <w:rPr>
                <w:rFonts w:cs="Arial"/>
                <w:b/>
                <w:bCs/>
                <w:u w:val="single"/>
              </w:rPr>
              <w:t xml:space="preserve">before </w:t>
            </w:r>
            <w:r w:rsidRPr="00051CBE">
              <w:rPr>
                <w:rFonts w:cs="Arial"/>
                <w:b/>
                <w:bCs/>
              </w:rPr>
              <w:t xml:space="preserve">the </w:t>
            </w:r>
            <w:r w:rsidRPr="00051CBE">
              <w:rPr>
                <w:rFonts w:cs="Arial"/>
                <w:b/>
                <w:bCs/>
                <w:vertAlign w:val="superscript"/>
              </w:rPr>
              <w:t xml:space="preserve"> </w:t>
            </w:r>
            <w:r w:rsidRPr="00051CBE">
              <w:rPr>
                <w:rFonts w:cs="Arial"/>
                <w:b/>
                <w:bCs/>
              </w:rPr>
              <w:t>31</w:t>
            </w:r>
            <w:r w:rsidRPr="00051CBE">
              <w:rPr>
                <w:rFonts w:cs="Arial"/>
                <w:b/>
                <w:bCs/>
                <w:vertAlign w:val="superscript"/>
              </w:rPr>
              <w:t>st</w:t>
            </w:r>
            <w:r w:rsidRPr="00051CBE">
              <w:rPr>
                <w:rFonts w:cs="Arial"/>
                <w:b/>
                <w:bCs/>
              </w:rPr>
              <w:t xml:space="preserve">  March 2019 and</w:t>
            </w:r>
            <w:r w:rsidRPr="00051CBE">
              <w:rPr>
                <w:rFonts w:cs="Arial"/>
                <w:b/>
                <w:bCs/>
                <w:u w:val="single"/>
              </w:rPr>
              <w:t xml:space="preserve"> have</w:t>
            </w:r>
            <w:r w:rsidRPr="00051CBE">
              <w:rPr>
                <w:rFonts w:cs="Arial"/>
                <w:b/>
                <w:bCs/>
              </w:rPr>
              <w:t xml:space="preserve"> been engaged in the practice of the profession for </w:t>
            </w:r>
            <w:r w:rsidRPr="00051CBE">
              <w:rPr>
                <w:rFonts w:cs="Arial"/>
                <w:b/>
                <w:bCs/>
                <w:u w:val="single"/>
              </w:rPr>
              <w:t>less than 2 years fulltime</w:t>
            </w:r>
            <w:r w:rsidRPr="00051CBE">
              <w:rPr>
                <w:rFonts w:cs="Arial"/>
                <w:b/>
                <w:bCs/>
              </w:rPr>
              <w:t xml:space="preserve"> (or an aggregate</w:t>
            </w:r>
            <w:r w:rsidRPr="00051CBE">
              <w:rPr>
                <w:rFonts w:cs="Arial"/>
              </w:rPr>
              <w:t xml:space="preserve"> </w:t>
            </w:r>
            <w:r w:rsidRPr="00051CBE">
              <w:rPr>
                <w:rFonts w:cs="Arial"/>
                <w:b/>
              </w:rPr>
              <w:t>of 2 years fulltime</w:t>
            </w:r>
            <w:r w:rsidRPr="00051CBE">
              <w:rPr>
                <w:rFonts w:cs="Arial"/>
                <w:b/>
                <w:bCs/>
              </w:rPr>
              <w:t>), in the Republic of Ireland between 31</w:t>
            </w:r>
            <w:r w:rsidRPr="00051CBE">
              <w:rPr>
                <w:rFonts w:cs="Arial"/>
                <w:b/>
                <w:bCs/>
                <w:vertAlign w:val="superscript"/>
              </w:rPr>
              <w:t>st</w:t>
            </w:r>
            <w:r w:rsidRPr="00051CBE">
              <w:rPr>
                <w:rFonts w:cs="Arial"/>
                <w:b/>
                <w:bCs/>
              </w:rPr>
              <w:t xml:space="preserve">   March 2014 and 30</w:t>
            </w:r>
            <w:r w:rsidRPr="00051CBE">
              <w:rPr>
                <w:rFonts w:cs="Arial"/>
                <w:b/>
                <w:bCs/>
                <w:vertAlign w:val="superscript"/>
              </w:rPr>
              <w:t>th</w:t>
            </w:r>
            <w:r w:rsidRPr="00051CBE">
              <w:rPr>
                <w:rFonts w:cs="Arial"/>
                <w:b/>
                <w:bCs/>
              </w:rPr>
              <w:t xml:space="preserve"> March 2019 must: </w:t>
            </w:r>
          </w:p>
          <w:p w:rsidR="00DC69E2" w:rsidRPr="00051CBE" w:rsidRDefault="00DC69E2" w:rsidP="00D6397C">
            <w:pPr>
              <w:rPr>
                <w:rFonts w:cs="Arial"/>
                <w:b/>
                <w:bCs/>
              </w:rPr>
            </w:pP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(a)</w:t>
            </w:r>
          </w:p>
        </w:tc>
        <w:tc>
          <w:tcPr>
            <w:tcW w:w="7308" w:type="dxa"/>
            <w:gridSpan w:val="3"/>
            <w:tcBorders>
              <w:top w:val="nil"/>
              <w:left w:val="nil"/>
              <w:bottom w:val="nil"/>
              <w:right w:val="nil"/>
            </w:tcBorders>
          </w:tcPr>
          <w:p w:rsidR="00DC69E2" w:rsidRPr="00051CBE" w:rsidRDefault="00DC69E2" w:rsidP="00D6397C">
            <w:pPr>
              <w:contextualSpacing/>
              <w:rPr>
                <w:rFonts w:cs="Arial"/>
              </w:rPr>
            </w:pPr>
            <w:r w:rsidRPr="00051CBE">
              <w:rPr>
                <w:rFonts w:cs="Arial"/>
              </w:rPr>
              <w:t xml:space="preserve">Possess a qualification approved by the Medical Scientists Registration Board at CORU see </w:t>
            </w:r>
            <w:hyperlink r:id="rId14" w:history="1">
              <w:r w:rsidRPr="00051CBE">
                <w:rPr>
                  <w:rStyle w:val="Hyperlink"/>
                  <w:rFonts w:cs="Arial"/>
                </w:rPr>
                <w:t>https://www.coru.ie/about-us/registration-boards/medical-scientists-registration-board/apply-for-registration/</w:t>
              </w:r>
            </w:hyperlink>
          </w:p>
          <w:p w:rsidR="00DC69E2" w:rsidRPr="00051CBE" w:rsidRDefault="00DC69E2" w:rsidP="00D6397C">
            <w:pPr>
              <w:jc w:val="both"/>
              <w:rPr>
                <w:rStyle w:val="CommentReference"/>
                <w:rFonts w:cs="Arial"/>
                <w:sz w:val="20"/>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gridSpan w:val="2"/>
            <w:tcBorders>
              <w:top w:val="nil"/>
              <w:left w:val="nil"/>
              <w:bottom w:val="nil"/>
              <w:right w:val="nil"/>
            </w:tcBorders>
          </w:tcPr>
          <w:p w:rsidR="00DC69E2" w:rsidRPr="00051CBE" w:rsidRDefault="00DC69E2" w:rsidP="00D6397C">
            <w:pPr>
              <w:jc w:val="right"/>
              <w:rPr>
                <w:rFonts w:cs="Arial"/>
                <w:b/>
              </w:rPr>
            </w:pPr>
            <w:r w:rsidRPr="00051CBE">
              <w:rPr>
                <w:rFonts w:cs="Arial"/>
                <w:b/>
              </w:rPr>
              <w:t>Or</w:t>
            </w:r>
          </w:p>
        </w:tc>
        <w:tc>
          <w:tcPr>
            <w:tcW w:w="419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rPr>
          <w:trHeight w:val="80"/>
        </w:trPr>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(b)</w:t>
            </w:r>
          </w:p>
        </w:tc>
        <w:tc>
          <w:tcPr>
            <w:tcW w:w="7308" w:type="dxa"/>
            <w:gridSpan w:val="3"/>
            <w:tcBorders>
              <w:top w:val="nil"/>
              <w:left w:val="nil"/>
              <w:bottom w:val="nil"/>
              <w:right w:val="nil"/>
            </w:tcBorders>
          </w:tcPr>
          <w:p w:rsidR="00DC69E2" w:rsidRPr="00051CBE" w:rsidRDefault="00DC69E2" w:rsidP="00D6397C">
            <w:pPr>
              <w:jc w:val="both"/>
              <w:rPr>
                <w:rFonts w:cs="Arial"/>
              </w:rPr>
            </w:pPr>
            <w:r w:rsidRPr="00051CBE">
              <w:rPr>
                <w:rFonts w:cs="Arial"/>
              </w:rPr>
              <w:t xml:space="preserve">Hold a comparable qualification recognised by the Medical Scientists Registration Board at CORU. </w:t>
            </w: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gridSpan w:val="2"/>
            <w:tcBorders>
              <w:top w:val="nil"/>
              <w:left w:val="nil"/>
              <w:bottom w:val="nil"/>
              <w:right w:val="nil"/>
            </w:tcBorders>
          </w:tcPr>
          <w:p w:rsidR="00DC69E2" w:rsidRPr="00051CBE" w:rsidRDefault="00DC69E2" w:rsidP="00D6397C">
            <w:pPr>
              <w:jc w:val="right"/>
              <w:rPr>
                <w:rFonts w:cs="Arial"/>
                <w:b/>
              </w:rPr>
            </w:pPr>
            <w:r w:rsidRPr="00051CBE">
              <w:rPr>
                <w:rFonts w:cs="Arial"/>
                <w:b/>
              </w:rPr>
              <w:t>Or</w:t>
            </w:r>
          </w:p>
        </w:tc>
        <w:tc>
          <w:tcPr>
            <w:tcW w:w="419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(c)</w:t>
            </w:r>
          </w:p>
        </w:tc>
        <w:tc>
          <w:tcPr>
            <w:tcW w:w="7308" w:type="dxa"/>
            <w:gridSpan w:val="3"/>
            <w:tcBorders>
              <w:top w:val="nil"/>
              <w:left w:val="nil"/>
              <w:bottom w:val="nil"/>
              <w:right w:val="nil"/>
            </w:tcBorders>
          </w:tcPr>
          <w:p w:rsidR="00DC69E2" w:rsidRPr="00051CBE" w:rsidRDefault="00DC69E2" w:rsidP="00D6397C">
            <w:pPr>
              <w:jc w:val="both"/>
              <w:rPr>
                <w:rFonts w:cs="Arial"/>
                <w:color w:val="FF0000"/>
              </w:rPr>
            </w:pPr>
            <w:r w:rsidRPr="00051CBE">
              <w:rPr>
                <w:rFonts w:cs="Arial"/>
              </w:rPr>
              <w:t xml:space="preserve">Submit proof to the HSE of their application for recognition of their qualifications from the Medical Scientists Registration Board at CORU by a date specified by the HSE. (HBS Recruit or recruiting unit will specify this date, generally pre interview date). </w:t>
            </w:r>
          </w:p>
          <w:p w:rsidR="00DC69E2" w:rsidRPr="00051CBE" w:rsidRDefault="00DC69E2" w:rsidP="00D6397C">
            <w:pPr>
              <w:tabs>
                <w:tab w:val="left" w:pos="3030"/>
              </w:tabs>
              <w:jc w:val="both"/>
              <w:rPr>
                <w:rFonts w:cs="Arial"/>
              </w:rPr>
            </w:pPr>
            <w:r w:rsidRPr="00051CBE">
              <w:rPr>
                <w:rFonts w:cs="Arial"/>
              </w:rPr>
              <w:tab/>
            </w: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gridSpan w:val="2"/>
            <w:tcBorders>
              <w:top w:val="nil"/>
              <w:left w:val="nil"/>
              <w:bottom w:val="nil"/>
              <w:right w:val="nil"/>
            </w:tcBorders>
          </w:tcPr>
          <w:p w:rsidR="00DC69E2" w:rsidRPr="00051CBE" w:rsidRDefault="00DC69E2" w:rsidP="00D6397C">
            <w:pPr>
              <w:jc w:val="right"/>
              <w:rPr>
                <w:rFonts w:cs="Arial"/>
                <w:b/>
              </w:rPr>
            </w:pPr>
            <w:r w:rsidRPr="00051CBE">
              <w:rPr>
                <w:rFonts w:cs="Arial"/>
                <w:b/>
              </w:rPr>
              <w:t>Or</w:t>
            </w:r>
          </w:p>
        </w:tc>
        <w:tc>
          <w:tcPr>
            <w:tcW w:w="419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(d)</w:t>
            </w:r>
          </w:p>
        </w:tc>
        <w:tc>
          <w:tcPr>
            <w:tcW w:w="7308" w:type="dxa"/>
            <w:gridSpan w:val="3"/>
            <w:tcBorders>
              <w:top w:val="nil"/>
              <w:left w:val="nil"/>
              <w:bottom w:val="nil"/>
              <w:right w:val="nil"/>
            </w:tcBorders>
          </w:tcPr>
          <w:p w:rsidR="00DC69E2" w:rsidRPr="00051CBE" w:rsidRDefault="00DC69E2" w:rsidP="00D6397C">
            <w:pPr>
              <w:jc w:val="both"/>
              <w:rPr>
                <w:rFonts w:cs="Arial"/>
              </w:rPr>
            </w:pPr>
            <w:r w:rsidRPr="00051CBE">
              <w:rPr>
                <w:rFonts w:cs="Arial"/>
              </w:rPr>
              <w:t>Hold a qualification previously recognised by the Academy of Clinical Science and Laboratory Medicine (</w:t>
            </w:r>
            <w:r w:rsidRPr="00051CBE">
              <w:rPr>
                <w:rFonts w:cs="Arial"/>
                <w:i/>
              </w:rPr>
              <w:t>formerly the Academy of Medical Laboratory Science) upto 31</w:t>
            </w:r>
            <w:r w:rsidRPr="00051CBE">
              <w:rPr>
                <w:rFonts w:cs="Arial"/>
                <w:i/>
                <w:vertAlign w:val="superscript"/>
              </w:rPr>
              <w:t>st</w:t>
            </w:r>
            <w:r w:rsidRPr="00051CBE">
              <w:rPr>
                <w:rFonts w:cs="Arial"/>
                <w:i/>
              </w:rPr>
              <w:t xml:space="preserve"> March 2019. </w:t>
            </w:r>
          </w:p>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gridSpan w:val="2"/>
            <w:tcBorders>
              <w:top w:val="nil"/>
              <w:left w:val="nil"/>
              <w:bottom w:val="nil"/>
              <w:right w:val="nil"/>
            </w:tcBorders>
          </w:tcPr>
          <w:p w:rsidR="00DC69E2" w:rsidRPr="00051CBE" w:rsidRDefault="00DC69E2" w:rsidP="00D6397C">
            <w:pPr>
              <w:jc w:val="right"/>
              <w:rPr>
                <w:rFonts w:cs="Arial"/>
                <w:b/>
              </w:rPr>
            </w:pPr>
            <w:r w:rsidRPr="00051CBE">
              <w:rPr>
                <w:rFonts w:cs="Arial"/>
                <w:b/>
              </w:rPr>
              <w:t>And</w:t>
            </w:r>
          </w:p>
        </w:tc>
        <w:tc>
          <w:tcPr>
            <w:tcW w:w="4190" w:type="dxa"/>
            <w:tcBorders>
              <w:top w:val="nil"/>
              <w:left w:val="nil"/>
              <w:bottom w:val="nil"/>
              <w:right w:val="nil"/>
            </w:tcBorders>
          </w:tcPr>
          <w:p w:rsidR="00DC69E2" w:rsidRPr="00051CBE" w:rsidRDefault="00DC69E2" w:rsidP="00D6397C">
            <w:pPr>
              <w:jc w:val="both"/>
              <w:rPr>
                <w:rFonts w:cs="Arial"/>
              </w:rPr>
            </w:pPr>
          </w:p>
        </w:tc>
      </w:tr>
      <w:tr w:rsidR="00DC69E2" w:rsidRPr="00051CBE" w:rsidTr="00D6397C">
        <w:tc>
          <w:tcPr>
            <w:tcW w:w="988" w:type="dxa"/>
            <w:tcBorders>
              <w:top w:val="nil"/>
              <w:left w:val="nil"/>
              <w:bottom w:val="nil"/>
              <w:right w:val="nil"/>
            </w:tcBorders>
          </w:tcPr>
          <w:p w:rsidR="00DC69E2" w:rsidRPr="00051CBE" w:rsidRDefault="00DC69E2" w:rsidP="00D6397C">
            <w:pPr>
              <w:jc w:val="both"/>
              <w:rPr>
                <w:rFonts w:cs="Arial"/>
                <w:b/>
              </w:rPr>
            </w:pPr>
            <w:r w:rsidRPr="00051CBE">
              <w:rPr>
                <w:rFonts w:cs="Arial"/>
                <w:b/>
              </w:rPr>
              <w:t>(e)</w:t>
            </w:r>
          </w:p>
        </w:tc>
        <w:tc>
          <w:tcPr>
            <w:tcW w:w="7308" w:type="dxa"/>
            <w:gridSpan w:val="3"/>
            <w:tcBorders>
              <w:top w:val="nil"/>
              <w:left w:val="nil"/>
              <w:bottom w:val="nil"/>
              <w:right w:val="nil"/>
            </w:tcBorders>
          </w:tcPr>
          <w:p w:rsidR="00DC69E2" w:rsidRPr="00051CBE" w:rsidRDefault="00DC69E2" w:rsidP="00D6397C">
            <w:pPr>
              <w:jc w:val="both"/>
              <w:rPr>
                <w:rFonts w:cs="Arial"/>
                <w:bCs/>
              </w:rPr>
            </w:pPr>
            <w:r w:rsidRPr="00051CBE">
              <w:rPr>
                <w:rFonts w:cs="Arial"/>
                <w:bCs/>
              </w:rPr>
              <w:t>Have the requisite knowledge and ability (including a high standard of suitability and professional ability) for the proper discharge of the duties of the office.</w:t>
            </w:r>
          </w:p>
          <w:p w:rsidR="00DC69E2" w:rsidRPr="00051CBE" w:rsidRDefault="00DC69E2" w:rsidP="00D6397C">
            <w:pPr>
              <w:jc w:val="both"/>
              <w:rPr>
                <w:rFonts w:cs="Arial"/>
              </w:rPr>
            </w:pPr>
          </w:p>
        </w:tc>
      </w:tr>
    </w:tbl>
    <w:p w:rsidR="00DC69E2" w:rsidRPr="00051CBE" w:rsidRDefault="00DC69E2" w:rsidP="00DC69E2">
      <w:pPr>
        <w:rPr>
          <w:rFonts w:cs="Arial"/>
          <w:b/>
          <w:bCs/>
          <w:u w:val="single"/>
        </w:rPr>
      </w:pPr>
    </w:p>
    <w:p w:rsidR="00DC69E2" w:rsidRPr="00051CBE" w:rsidRDefault="00DC69E2" w:rsidP="00DC69E2">
      <w:pPr>
        <w:rPr>
          <w:rFonts w:cs="Arial"/>
          <w:b/>
          <w:bCs/>
        </w:rPr>
      </w:pPr>
      <w:r w:rsidRPr="00051CBE">
        <w:rPr>
          <w:rFonts w:cs="Arial"/>
          <w:b/>
          <w:bCs/>
        </w:rPr>
        <w:t>Category C:</w:t>
      </w:r>
    </w:p>
    <w:p w:rsidR="00DC69E2" w:rsidRPr="00051CBE" w:rsidRDefault="00DC69E2" w:rsidP="00DC69E2">
      <w:pPr>
        <w:rPr>
          <w:rFonts w:cs="Arial"/>
          <w:b/>
          <w:bCs/>
        </w:rPr>
      </w:pPr>
      <w:r w:rsidRPr="00051CBE">
        <w:rPr>
          <w:rFonts w:cs="Arial"/>
          <w:b/>
          <w:bCs/>
        </w:rPr>
        <w:t xml:space="preserve">Individuals who qualified </w:t>
      </w:r>
      <w:r w:rsidRPr="00051CBE">
        <w:rPr>
          <w:rFonts w:cs="Arial"/>
          <w:b/>
          <w:bCs/>
          <w:u w:val="single"/>
        </w:rPr>
        <w:t xml:space="preserve">before </w:t>
      </w:r>
      <w:r w:rsidRPr="00051CBE">
        <w:rPr>
          <w:rFonts w:cs="Arial"/>
          <w:b/>
          <w:bCs/>
        </w:rPr>
        <w:t>the 31</w:t>
      </w:r>
      <w:r w:rsidRPr="00051CBE">
        <w:rPr>
          <w:rFonts w:cs="Arial"/>
          <w:b/>
          <w:bCs/>
          <w:vertAlign w:val="superscript"/>
        </w:rPr>
        <w:t>st</w:t>
      </w:r>
      <w:r w:rsidRPr="00051CBE">
        <w:rPr>
          <w:rFonts w:cs="Arial"/>
          <w:b/>
          <w:bCs/>
        </w:rPr>
        <w:t xml:space="preserve"> March 2019 and have been engaged in the practice of the profession in the Republic of Ireland for a </w:t>
      </w:r>
      <w:r w:rsidRPr="00051CBE">
        <w:rPr>
          <w:rFonts w:cs="Arial"/>
          <w:b/>
          <w:bCs/>
          <w:u w:val="single"/>
        </w:rPr>
        <w:t xml:space="preserve">minimum of 2 years </w:t>
      </w:r>
      <w:r w:rsidRPr="00051CBE">
        <w:rPr>
          <w:rFonts w:cs="Arial"/>
          <w:b/>
          <w:bCs/>
        </w:rPr>
        <w:t>fulltime (or an aggregate</w:t>
      </w:r>
      <w:r w:rsidRPr="00051CBE">
        <w:rPr>
          <w:rFonts w:cs="Arial"/>
          <w:b/>
        </w:rPr>
        <w:t xml:space="preserve"> of 2 years fulltime</w:t>
      </w:r>
      <w:r w:rsidRPr="00051CBE">
        <w:rPr>
          <w:rFonts w:cs="Arial"/>
          <w:b/>
          <w:bCs/>
        </w:rPr>
        <w:t>), between 31</w:t>
      </w:r>
      <w:r w:rsidRPr="00051CBE">
        <w:rPr>
          <w:rFonts w:cs="Arial"/>
          <w:b/>
          <w:bCs/>
          <w:vertAlign w:val="superscript"/>
        </w:rPr>
        <w:t>st</w:t>
      </w:r>
      <w:r w:rsidRPr="00051CBE">
        <w:rPr>
          <w:rFonts w:cs="Arial"/>
          <w:b/>
          <w:bCs/>
        </w:rPr>
        <w:t xml:space="preserve"> March 2014 and 30</w:t>
      </w:r>
      <w:r w:rsidRPr="00051CBE">
        <w:rPr>
          <w:rFonts w:cs="Arial"/>
          <w:b/>
          <w:bCs/>
          <w:vertAlign w:val="superscript"/>
        </w:rPr>
        <w:t>th</w:t>
      </w:r>
      <w:r w:rsidRPr="00051CBE">
        <w:rPr>
          <w:rFonts w:cs="Arial"/>
          <w:b/>
          <w:bCs/>
        </w:rPr>
        <w:t xml:space="preserve"> March 2019 must:</w:t>
      </w:r>
    </w:p>
    <w:p w:rsidR="00DC69E2" w:rsidRPr="00051CBE" w:rsidRDefault="00DC69E2" w:rsidP="00DC69E2">
      <w:pPr>
        <w:rPr>
          <w:rFonts w:cs="Arial"/>
          <w:b/>
          <w:bCs/>
        </w:rPr>
      </w:pPr>
    </w:p>
    <w:p w:rsidR="00DC69E2" w:rsidRPr="00051CBE" w:rsidRDefault="00DC69E2" w:rsidP="00DC69E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gridCol w:w="4190"/>
      </w:tblGrid>
      <w:tr w:rsidR="00DC69E2" w:rsidRPr="00051CBE" w:rsidTr="00D6397C">
        <w:tc>
          <w:tcPr>
            <w:tcW w:w="988" w:type="dxa"/>
          </w:tcPr>
          <w:p w:rsidR="00DC69E2" w:rsidRPr="00051CBE" w:rsidRDefault="00DC69E2" w:rsidP="00D6397C">
            <w:pPr>
              <w:rPr>
                <w:rFonts w:cs="Arial"/>
                <w:b/>
              </w:rPr>
            </w:pPr>
            <w:r w:rsidRPr="00051CBE">
              <w:rPr>
                <w:rFonts w:cs="Arial"/>
                <w:b/>
              </w:rPr>
              <w:t>(a)</w:t>
            </w:r>
          </w:p>
        </w:tc>
        <w:tc>
          <w:tcPr>
            <w:tcW w:w="7308" w:type="dxa"/>
            <w:gridSpan w:val="2"/>
          </w:tcPr>
          <w:p w:rsidR="00DC69E2" w:rsidRPr="00051CBE" w:rsidRDefault="00DC69E2" w:rsidP="00D6397C">
            <w:pPr>
              <w:rPr>
                <w:rFonts w:cs="Arial"/>
              </w:rPr>
            </w:pPr>
            <w:r w:rsidRPr="00051CBE">
              <w:rPr>
                <w:rFonts w:cs="Arial"/>
              </w:rPr>
              <w:t xml:space="preserve">Hold a qualification recognised by the Medical Scientists  Registration Board at CORU see </w:t>
            </w:r>
            <w:hyperlink r:id="rId15" w:history="1">
              <w:r w:rsidRPr="00051CBE">
                <w:rPr>
                  <w:rStyle w:val="Hyperlink"/>
                  <w:rFonts w:cs="Arial"/>
                </w:rPr>
                <w:t>https://www.coru.ie/about-us/registration-boards/medical-scientists-registration-board/apply-for-registration/</w:t>
              </w:r>
            </w:hyperlink>
          </w:p>
          <w:p w:rsidR="00DC69E2" w:rsidRPr="00051CBE" w:rsidRDefault="00DC69E2" w:rsidP="00D6397C">
            <w:pPr>
              <w:rPr>
                <w:rStyle w:val="CommentReference"/>
                <w:rFonts w:cs="Arial"/>
                <w:sz w:val="20"/>
              </w:rPr>
            </w:pPr>
          </w:p>
        </w:tc>
      </w:tr>
      <w:tr w:rsidR="00DC69E2" w:rsidRPr="00051CBE" w:rsidTr="00D6397C">
        <w:tc>
          <w:tcPr>
            <w:tcW w:w="988" w:type="dxa"/>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tcPr>
          <w:p w:rsidR="00DC69E2" w:rsidRPr="00051CBE" w:rsidRDefault="00DC69E2" w:rsidP="00D6397C">
            <w:pPr>
              <w:jc w:val="right"/>
              <w:rPr>
                <w:rFonts w:cs="Arial"/>
                <w:b/>
              </w:rPr>
            </w:pPr>
            <w:r w:rsidRPr="00051CBE">
              <w:rPr>
                <w:rFonts w:cs="Arial"/>
                <w:b/>
              </w:rPr>
              <w:t>Or</w:t>
            </w:r>
          </w:p>
        </w:tc>
        <w:tc>
          <w:tcPr>
            <w:tcW w:w="4190" w:type="dxa"/>
          </w:tcPr>
          <w:p w:rsidR="00DC69E2" w:rsidRPr="00051CBE" w:rsidRDefault="00DC69E2" w:rsidP="00D6397C">
            <w:pPr>
              <w:jc w:val="both"/>
              <w:rPr>
                <w:rFonts w:cs="Arial"/>
              </w:rPr>
            </w:pPr>
          </w:p>
        </w:tc>
      </w:tr>
      <w:tr w:rsidR="00DC69E2" w:rsidRPr="00051CBE" w:rsidTr="00D6397C">
        <w:tc>
          <w:tcPr>
            <w:tcW w:w="988" w:type="dxa"/>
          </w:tcPr>
          <w:p w:rsidR="00DC69E2" w:rsidRPr="00051CBE" w:rsidRDefault="00DC69E2" w:rsidP="00D6397C">
            <w:pPr>
              <w:jc w:val="both"/>
              <w:rPr>
                <w:rFonts w:cs="Arial"/>
                <w:b/>
              </w:rPr>
            </w:pPr>
            <w:r w:rsidRPr="00051CBE">
              <w:rPr>
                <w:rFonts w:cs="Arial"/>
                <w:b/>
              </w:rPr>
              <w:t>(b)</w:t>
            </w:r>
          </w:p>
        </w:tc>
        <w:tc>
          <w:tcPr>
            <w:tcW w:w="7308" w:type="dxa"/>
            <w:gridSpan w:val="2"/>
          </w:tcPr>
          <w:p w:rsidR="00DC69E2" w:rsidRPr="00051CBE" w:rsidRDefault="00DC69E2" w:rsidP="00D6397C">
            <w:pPr>
              <w:jc w:val="both"/>
              <w:rPr>
                <w:rFonts w:cs="Arial"/>
              </w:rPr>
            </w:pPr>
            <w:r w:rsidRPr="00051CBE">
              <w:rPr>
                <w:rFonts w:cs="Arial"/>
              </w:rPr>
              <w:t>Hold a qualification previously recognised by the Academy of Clinical Science and Laboratory Medicine (</w:t>
            </w:r>
            <w:r w:rsidRPr="00051CBE">
              <w:rPr>
                <w:rFonts w:cs="Arial"/>
                <w:i/>
              </w:rPr>
              <w:t>formerly the Academy of Medical Laboratory Science) upto 31</w:t>
            </w:r>
            <w:r w:rsidRPr="00051CBE">
              <w:rPr>
                <w:rFonts w:cs="Arial"/>
                <w:i/>
                <w:vertAlign w:val="superscript"/>
              </w:rPr>
              <w:t>st</w:t>
            </w:r>
            <w:r w:rsidRPr="00051CBE">
              <w:rPr>
                <w:rFonts w:cs="Arial"/>
                <w:i/>
              </w:rPr>
              <w:t xml:space="preserve"> March 2019. </w:t>
            </w:r>
          </w:p>
          <w:p w:rsidR="00DC69E2" w:rsidRPr="00051CBE" w:rsidRDefault="00DC69E2" w:rsidP="00D6397C">
            <w:pPr>
              <w:jc w:val="both"/>
              <w:rPr>
                <w:rFonts w:cs="Arial"/>
              </w:rPr>
            </w:pPr>
            <w:r w:rsidRPr="00051CBE">
              <w:rPr>
                <w:rFonts w:cs="Arial"/>
                <w:i/>
              </w:rPr>
              <w:t xml:space="preserve"> </w:t>
            </w:r>
          </w:p>
          <w:p w:rsidR="00DC69E2" w:rsidRPr="00051CBE" w:rsidRDefault="00DC69E2" w:rsidP="00D6397C">
            <w:pPr>
              <w:rPr>
                <w:rFonts w:cs="Arial"/>
              </w:rPr>
            </w:pPr>
          </w:p>
        </w:tc>
      </w:tr>
      <w:tr w:rsidR="00DC69E2" w:rsidRPr="00051CBE" w:rsidTr="00D6397C">
        <w:tc>
          <w:tcPr>
            <w:tcW w:w="988" w:type="dxa"/>
          </w:tcPr>
          <w:p w:rsidR="00DC69E2" w:rsidRPr="00051CBE" w:rsidRDefault="00DC69E2" w:rsidP="00D6397C">
            <w:pPr>
              <w:jc w:val="both"/>
              <w:rPr>
                <w:rFonts w:cs="Arial"/>
                <w:b/>
              </w:rPr>
            </w:pPr>
          </w:p>
          <w:p w:rsidR="00DC69E2" w:rsidRPr="00051CBE" w:rsidRDefault="00DC69E2" w:rsidP="00D6397C">
            <w:pPr>
              <w:jc w:val="both"/>
              <w:rPr>
                <w:rFonts w:cs="Arial"/>
                <w:b/>
              </w:rPr>
            </w:pPr>
          </w:p>
        </w:tc>
        <w:tc>
          <w:tcPr>
            <w:tcW w:w="3118" w:type="dxa"/>
          </w:tcPr>
          <w:p w:rsidR="00DC69E2" w:rsidRPr="00051CBE" w:rsidRDefault="00DC69E2" w:rsidP="00D6397C">
            <w:pPr>
              <w:jc w:val="right"/>
              <w:rPr>
                <w:rFonts w:cs="Arial"/>
                <w:b/>
              </w:rPr>
            </w:pPr>
            <w:r w:rsidRPr="00051CBE">
              <w:rPr>
                <w:rFonts w:cs="Arial"/>
                <w:b/>
              </w:rPr>
              <w:t>And</w:t>
            </w:r>
          </w:p>
        </w:tc>
        <w:tc>
          <w:tcPr>
            <w:tcW w:w="4190" w:type="dxa"/>
          </w:tcPr>
          <w:p w:rsidR="00DC69E2" w:rsidRPr="00051CBE" w:rsidRDefault="00DC69E2" w:rsidP="00D6397C">
            <w:pPr>
              <w:jc w:val="both"/>
              <w:rPr>
                <w:rFonts w:cs="Arial"/>
              </w:rPr>
            </w:pPr>
          </w:p>
        </w:tc>
      </w:tr>
      <w:tr w:rsidR="00DC69E2" w:rsidRPr="00051CBE" w:rsidTr="00D6397C">
        <w:tc>
          <w:tcPr>
            <w:tcW w:w="988" w:type="dxa"/>
          </w:tcPr>
          <w:p w:rsidR="00DC69E2" w:rsidRPr="00051CBE" w:rsidRDefault="00DC69E2" w:rsidP="00D6397C">
            <w:pPr>
              <w:jc w:val="both"/>
              <w:rPr>
                <w:rFonts w:cs="Arial"/>
                <w:b/>
              </w:rPr>
            </w:pPr>
            <w:r w:rsidRPr="00051CBE">
              <w:rPr>
                <w:rFonts w:cs="Arial"/>
                <w:b/>
              </w:rPr>
              <w:t>(c)</w:t>
            </w:r>
          </w:p>
        </w:tc>
        <w:tc>
          <w:tcPr>
            <w:tcW w:w="7308" w:type="dxa"/>
            <w:gridSpan w:val="2"/>
          </w:tcPr>
          <w:p w:rsidR="00DC69E2" w:rsidRPr="00051CBE" w:rsidRDefault="00DC69E2" w:rsidP="00D6397C">
            <w:pPr>
              <w:jc w:val="both"/>
              <w:rPr>
                <w:rFonts w:cs="Arial"/>
              </w:rPr>
            </w:pPr>
            <w:r w:rsidRPr="00051CBE">
              <w:rPr>
                <w:rFonts w:cs="Arial"/>
                <w:bCs/>
              </w:rPr>
              <w:t>Have the requisite knowledge and ability (including a high standard of suitability and professional ability) for the proper discharge of the duties of the office.</w:t>
            </w:r>
          </w:p>
          <w:p w:rsidR="00DC69E2" w:rsidRPr="00051CBE" w:rsidRDefault="00DC69E2" w:rsidP="00D6397C">
            <w:pPr>
              <w:tabs>
                <w:tab w:val="left" w:pos="3030"/>
              </w:tabs>
              <w:jc w:val="both"/>
              <w:rPr>
                <w:rFonts w:cs="Arial"/>
              </w:rPr>
            </w:pPr>
            <w:r w:rsidRPr="00051CBE">
              <w:rPr>
                <w:rFonts w:cs="Arial"/>
              </w:rPr>
              <w:tab/>
            </w:r>
          </w:p>
        </w:tc>
      </w:tr>
    </w:tbl>
    <w:p w:rsidR="00DC69E2" w:rsidRPr="00051CBE" w:rsidRDefault="00DC69E2" w:rsidP="00DC69E2">
      <w:pPr>
        <w:numPr>
          <w:ilvl w:val="0"/>
          <w:numId w:val="10"/>
        </w:numPr>
        <w:jc w:val="both"/>
        <w:rPr>
          <w:rFonts w:cs="Arial"/>
          <w:b/>
          <w:u w:val="single"/>
        </w:rPr>
      </w:pPr>
      <w:r w:rsidRPr="00051CBE">
        <w:rPr>
          <w:rFonts w:cs="Arial"/>
          <w:b/>
          <w:u w:val="single"/>
        </w:rPr>
        <w:t xml:space="preserve">Registration on the Medical Scientists register </w:t>
      </w:r>
    </w:p>
    <w:p w:rsidR="00DC69E2" w:rsidRPr="00051CBE" w:rsidRDefault="00DC69E2" w:rsidP="00DC69E2">
      <w:pPr>
        <w:pStyle w:val="ListParagraph"/>
        <w:ind w:left="397"/>
        <w:rPr>
          <w:rFonts w:ascii="Arial" w:hAnsi="Arial" w:cs="Arial"/>
          <w:b/>
          <w:bCs/>
        </w:rPr>
      </w:pPr>
      <w:r w:rsidRPr="00051CBE">
        <w:rPr>
          <w:rFonts w:ascii="Arial" w:hAnsi="Arial" w:cs="Arial"/>
          <w:b/>
          <w:bCs/>
        </w:rPr>
        <w:t>Category A and category B</w:t>
      </w:r>
    </w:p>
    <w:p w:rsidR="00DC69E2" w:rsidRPr="00051CBE" w:rsidRDefault="00DC69E2" w:rsidP="00DC69E2">
      <w:pPr>
        <w:pStyle w:val="ListParagraph"/>
        <w:ind w:left="397"/>
        <w:rPr>
          <w:rFonts w:ascii="Arial" w:hAnsi="Arial" w:cs="Arial"/>
          <w:b/>
          <w:u w:val="single"/>
        </w:rPr>
      </w:pPr>
      <w:r w:rsidRPr="00051CBE">
        <w:rPr>
          <w:rFonts w:ascii="Arial" w:hAnsi="Arial" w:cs="Arial"/>
        </w:rPr>
        <w:t xml:space="preserve">Appointees who subsequently fail to achieve the necessary registration on the Medical Scientists Register maintained by the Medical Scientists Registration Board at CORU </w:t>
      </w:r>
      <w:r w:rsidRPr="00051CBE">
        <w:rPr>
          <w:rFonts w:ascii="Arial" w:hAnsi="Arial" w:cs="Arial"/>
          <w:b/>
        </w:rPr>
        <w:t>will not</w:t>
      </w:r>
      <w:r w:rsidRPr="00051CBE">
        <w:rPr>
          <w:rFonts w:ascii="Arial" w:hAnsi="Arial" w:cs="Arial"/>
        </w:rPr>
        <w:t xml:space="preserve"> be able to continue in the role of a Medical Scientist </w:t>
      </w:r>
      <w:r w:rsidRPr="00051CBE">
        <w:rPr>
          <w:rFonts w:ascii="Arial" w:hAnsi="Arial" w:cs="Arial"/>
          <w:b/>
          <w:u w:val="single"/>
        </w:rPr>
        <w:t>beyond the 30</w:t>
      </w:r>
      <w:r w:rsidRPr="00051CBE">
        <w:rPr>
          <w:rFonts w:ascii="Arial" w:hAnsi="Arial" w:cs="Arial"/>
          <w:b/>
          <w:u w:val="single"/>
          <w:vertAlign w:val="superscript"/>
        </w:rPr>
        <w:t>th</w:t>
      </w:r>
      <w:r w:rsidRPr="00051CBE">
        <w:rPr>
          <w:rFonts w:ascii="Arial" w:hAnsi="Arial" w:cs="Arial"/>
          <w:b/>
          <w:u w:val="single"/>
        </w:rPr>
        <w:t xml:space="preserve"> March 2021.</w:t>
      </w:r>
    </w:p>
    <w:p w:rsidR="00DC69E2" w:rsidRPr="00051CBE" w:rsidRDefault="00DC69E2" w:rsidP="00DC69E2">
      <w:pPr>
        <w:pStyle w:val="ListParagraph"/>
        <w:ind w:left="397"/>
        <w:jc w:val="both"/>
        <w:rPr>
          <w:rFonts w:ascii="Arial" w:hAnsi="Arial" w:cs="Arial"/>
          <w:b/>
          <w:bCs/>
          <w:u w:val="single"/>
        </w:rPr>
      </w:pPr>
    </w:p>
    <w:p w:rsidR="00DC69E2" w:rsidRPr="00051CBE" w:rsidRDefault="00DC69E2" w:rsidP="00DC69E2">
      <w:pPr>
        <w:pStyle w:val="ListParagraph"/>
        <w:ind w:left="397"/>
        <w:jc w:val="both"/>
        <w:rPr>
          <w:rFonts w:ascii="Arial" w:hAnsi="Arial" w:cs="Arial"/>
          <w:b/>
          <w:bCs/>
        </w:rPr>
      </w:pPr>
      <w:r w:rsidRPr="00051CBE">
        <w:rPr>
          <w:rFonts w:ascii="Arial" w:hAnsi="Arial" w:cs="Arial"/>
          <w:b/>
          <w:bCs/>
        </w:rPr>
        <w:t>Category C</w:t>
      </w:r>
    </w:p>
    <w:p w:rsidR="00DC69E2" w:rsidRPr="00051CBE" w:rsidRDefault="00DC69E2" w:rsidP="00DC69E2">
      <w:pPr>
        <w:pStyle w:val="ListParagraph"/>
        <w:ind w:left="397"/>
        <w:rPr>
          <w:rFonts w:ascii="Arial" w:hAnsi="Arial" w:cs="Arial"/>
          <w:b/>
          <w:bCs/>
        </w:rPr>
      </w:pPr>
      <w:r w:rsidRPr="00051CBE">
        <w:rPr>
          <w:rFonts w:ascii="Arial" w:hAnsi="Arial" w:cs="Arial"/>
        </w:rPr>
        <w:t xml:space="preserve">Appointees must have applied for registration with CORU by the </w:t>
      </w:r>
      <w:r w:rsidRPr="00051CBE">
        <w:rPr>
          <w:rFonts w:ascii="Arial" w:hAnsi="Arial" w:cs="Arial"/>
          <w:b/>
          <w:u w:val="single"/>
        </w:rPr>
        <w:t>30</w:t>
      </w:r>
      <w:r w:rsidRPr="00051CBE">
        <w:rPr>
          <w:rFonts w:ascii="Arial" w:hAnsi="Arial" w:cs="Arial"/>
          <w:b/>
          <w:u w:val="single"/>
          <w:vertAlign w:val="superscript"/>
        </w:rPr>
        <w:t>th</w:t>
      </w:r>
      <w:r w:rsidRPr="00051CBE">
        <w:rPr>
          <w:rFonts w:ascii="Arial" w:hAnsi="Arial" w:cs="Arial"/>
          <w:b/>
          <w:u w:val="single"/>
        </w:rPr>
        <w:t xml:space="preserve"> March 2021</w:t>
      </w:r>
      <w:r w:rsidRPr="00051CBE">
        <w:rPr>
          <w:rFonts w:ascii="Arial" w:hAnsi="Arial" w:cs="Arial"/>
        </w:rPr>
        <w:t xml:space="preserve"> to continue in the role of a Medical Scientist </w:t>
      </w:r>
      <w:r w:rsidRPr="00051CBE">
        <w:rPr>
          <w:rFonts w:ascii="Arial" w:hAnsi="Arial" w:cs="Arial"/>
          <w:b/>
          <w:u w:val="single"/>
        </w:rPr>
        <w:t>beyond the 30th March 2021</w:t>
      </w:r>
      <w:r w:rsidRPr="00051CBE">
        <w:rPr>
          <w:rFonts w:ascii="Arial" w:hAnsi="Arial" w:cs="Arial"/>
        </w:rPr>
        <w:t>.</w:t>
      </w:r>
    </w:p>
    <w:p w:rsidR="00DC69E2" w:rsidRPr="00051CBE" w:rsidRDefault="00DC69E2" w:rsidP="00DC69E2">
      <w:pPr>
        <w:ind w:left="360"/>
        <w:jc w:val="both"/>
        <w:rPr>
          <w:rFonts w:cs="Arial"/>
        </w:rPr>
      </w:pPr>
    </w:p>
    <w:p w:rsidR="00DC69E2" w:rsidRPr="00051CBE" w:rsidRDefault="00DC69E2" w:rsidP="00DC69E2">
      <w:pPr>
        <w:jc w:val="both"/>
        <w:rPr>
          <w:rFonts w:cs="Arial"/>
          <w:b/>
          <w:u w:val="single"/>
        </w:rPr>
      </w:pPr>
    </w:p>
    <w:p w:rsidR="00DC69E2" w:rsidRPr="00051CBE" w:rsidRDefault="00DC69E2" w:rsidP="00DC69E2">
      <w:pPr>
        <w:pStyle w:val="ListParagraph"/>
        <w:numPr>
          <w:ilvl w:val="0"/>
          <w:numId w:val="10"/>
        </w:numPr>
        <w:jc w:val="both"/>
        <w:rPr>
          <w:rFonts w:ascii="Arial" w:hAnsi="Arial" w:cs="Arial"/>
          <w:b/>
          <w:u w:val="single"/>
          <w:lang w:val="en-IE"/>
        </w:rPr>
      </w:pPr>
      <w:r w:rsidRPr="00051CBE">
        <w:rPr>
          <w:rFonts w:ascii="Arial" w:hAnsi="Arial" w:cs="Arial"/>
          <w:b/>
          <w:u w:val="single"/>
          <w:lang w:val="en-IE"/>
        </w:rPr>
        <w:t>Annual registration</w:t>
      </w:r>
    </w:p>
    <w:p w:rsidR="00DC69E2" w:rsidRPr="00051CBE" w:rsidRDefault="00DC69E2" w:rsidP="00DC69E2">
      <w:pPr>
        <w:ind w:left="397"/>
        <w:jc w:val="both"/>
        <w:rPr>
          <w:rFonts w:cs="Arial"/>
        </w:rPr>
      </w:pPr>
      <w:r w:rsidRPr="00051CBE">
        <w:rPr>
          <w:rFonts w:cs="Arial"/>
        </w:rPr>
        <w:t xml:space="preserve">On appointment, practitioners must maintain live annual registration on the Medical Scientists Register maintained by the Medical Scientists Registration Board at CORU. </w:t>
      </w:r>
    </w:p>
    <w:p w:rsidR="00DC69E2" w:rsidRPr="00051CBE" w:rsidRDefault="00DC69E2" w:rsidP="00DC69E2">
      <w:pPr>
        <w:ind w:left="397"/>
        <w:jc w:val="both"/>
        <w:rPr>
          <w:rFonts w:cs="Arial"/>
          <w:b/>
          <w:u w:val="single"/>
        </w:rPr>
      </w:pPr>
    </w:p>
    <w:p w:rsidR="00DC69E2" w:rsidRPr="00051CBE" w:rsidRDefault="00DC69E2" w:rsidP="00DC69E2">
      <w:pPr>
        <w:numPr>
          <w:ilvl w:val="0"/>
          <w:numId w:val="10"/>
        </w:numPr>
        <w:jc w:val="both"/>
        <w:rPr>
          <w:rFonts w:cs="Arial"/>
          <w:b/>
          <w:u w:val="single"/>
        </w:rPr>
      </w:pPr>
      <w:r w:rsidRPr="00051CBE">
        <w:rPr>
          <w:rFonts w:cs="Arial"/>
          <w:b/>
          <w:u w:val="single"/>
        </w:rPr>
        <w:t>Health</w:t>
      </w:r>
    </w:p>
    <w:p w:rsidR="00DC69E2" w:rsidRPr="00051CBE" w:rsidRDefault="00DC69E2" w:rsidP="00DC69E2">
      <w:pPr>
        <w:ind w:left="397"/>
        <w:jc w:val="both"/>
        <w:rPr>
          <w:rFonts w:cs="Arial"/>
        </w:rPr>
      </w:pPr>
      <w:r w:rsidRPr="00051CBE">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DC69E2" w:rsidRPr="00051CBE" w:rsidRDefault="00DC69E2" w:rsidP="00DC69E2">
      <w:pPr>
        <w:ind w:left="397"/>
        <w:jc w:val="both"/>
        <w:rPr>
          <w:rFonts w:cs="Arial"/>
        </w:rPr>
      </w:pPr>
    </w:p>
    <w:p w:rsidR="00DC69E2" w:rsidRPr="00051CBE" w:rsidRDefault="00DC69E2" w:rsidP="00DC69E2">
      <w:pPr>
        <w:numPr>
          <w:ilvl w:val="0"/>
          <w:numId w:val="10"/>
        </w:numPr>
        <w:jc w:val="both"/>
        <w:rPr>
          <w:rFonts w:cs="Arial"/>
          <w:b/>
          <w:u w:val="single"/>
        </w:rPr>
      </w:pPr>
      <w:r w:rsidRPr="00051CBE">
        <w:rPr>
          <w:rFonts w:cs="Arial"/>
          <w:b/>
          <w:u w:val="single"/>
        </w:rPr>
        <w:t>Character</w:t>
      </w:r>
    </w:p>
    <w:p w:rsidR="00DC69E2" w:rsidRPr="00E177AF" w:rsidRDefault="00DC69E2" w:rsidP="00DC69E2">
      <w:pPr>
        <w:ind w:firstLine="397"/>
        <w:jc w:val="both"/>
        <w:rPr>
          <w:rFonts w:cs="Arial"/>
        </w:rPr>
      </w:pPr>
      <w:r w:rsidRPr="00051CBE">
        <w:rPr>
          <w:rFonts w:cs="Arial"/>
        </w:rPr>
        <w:t>Candidates for and any person holding the of</w:t>
      </w:r>
      <w:r>
        <w:rPr>
          <w:rFonts w:cs="Arial"/>
        </w:rPr>
        <w:t>fice must be of good character.</w:t>
      </w:r>
    </w:p>
    <w:p w:rsidR="006A0D28" w:rsidRDefault="006A0D28" w:rsidP="00D808E4">
      <w:pPr>
        <w:ind w:left="360"/>
        <w:rPr>
          <w:rFonts w:cs="Arial"/>
          <w:b/>
        </w:rPr>
      </w:pPr>
    </w:p>
    <w:p w:rsidR="00A45E94" w:rsidRPr="00A45E94" w:rsidRDefault="00A45E94" w:rsidP="00A45E94">
      <w:pPr>
        <w:rPr>
          <w:rFonts w:cs="Arial"/>
          <w:b/>
          <w:bCs/>
          <w:u w:val="single"/>
        </w:rPr>
      </w:pPr>
      <w:r w:rsidRPr="00A45E94">
        <w:rPr>
          <w:rFonts w:cs="Arial"/>
          <w:b/>
          <w:bCs/>
          <w:u w:val="single"/>
        </w:rPr>
        <w:t>Post Specific Requirements</w:t>
      </w:r>
    </w:p>
    <w:p w:rsidR="00A45E94" w:rsidRDefault="00A45E94" w:rsidP="00A45E94">
      <w:pPr>
        <w:jc w:val="both"/>
        <w:rPr>
          <w:rFonts w:cs="Arial"/>
          <w:bCs/>
          <w:iCs/>
          <w:color w:val="000000"/>
        </w:rPr>
      </w:pPr>
      <w:r w:rsidRPr="00FE78C0">
        <w:rPr>
          <w:rFonts w:cs="Arial"/>
          <w:bCs/>
          <w:iCs/>
          <w:color w:val="000000"/>
        </w:rPr>
        <w:t xml:space="preserve">Demonstrate depth and breadth of </w:t>
      </w:r>
      <w:r>
        <w:rPr>
          <w:rFonts w:cs="Arial"/>
          <w:bCs/>
          <w:iCs/>
          <w:color w:val="000000"/>
        </w:rPr>
        <w:t>experience in</w:t>
      </w:r>
      <w:r w:rsidRPr="004E7FEA">
        <w:rPr>
          <w:rFonts w:cs="Arial"/>
          <w:bCs/>
          <w:iCs/>
          <w:color w:val="000000"/>
        </w:rPr>
        <w:t xml:space="preserve"> Microbiology</w:t>
      </w:r>
      <w:r>
        <w:rPr>
          <w:rFonts w:cs="Arial"/>
          <w:bCs/>
          <w:iCs/>
          <w:color w:val="000000"/>
        </w:rPr>
        <w:t xml:space="preserve"> as relevant to the role.</w:t>
      </w:r>
    </w:p>
    <w:p w:rsidR="00A45E94" w:rsidRDefault="00A45E94" w:rsidP="00D808E4">
      <w:pPr>
        <w:ind w:left="360"/>
        <w:rPr>
          <w:rFonts w:cs="Arial"/>
          <w:b/>
        </w:rPr>
      </w:pPr>
    </w:p>
    <w:p w:rsidR="00A45E94" w:rsidRDefault="00A45E94" w:rsidP="00A45E94">
      <w:pPr>
        <w:jc w:val="both"/>
        <w:rPr>
          <w:rFonts w:cs="Arial"/>
          <w:b/>
        </w:rPr>
      </w:pPr>
      <w:r w:rsidRPr="001B5F2B">
        <w:rPr>
          <w:rFonts w:cs="Arial"/>
          <w:b/>
        </w:rPr>
        <w:t xml:space="preserve">Qualifications obtained outside the Republic of Ireland </w:t>
      </w:r>
      <w:r>
        <w:rPr>
          <w:rFonts w:cs="Arial"/>
          <w:b/>
        </w:rPr>
        <w:t xml:space="preserve">which have not been previously validated by the </w:t>
      </w:r>
      <w:r w:rsidR="00DC69E2" w:rsidRPr="00DC69E2">
        <w:rPr>
          <w:rFonts w:cs="Arial"/>
          <w:b/>
        </w:rPr>
        <w:t>Academy of Clinical Science and Laboratory Medicine (formerly the Academy of Medical Laboratory Science)</w:t>
      </w:r>
      <w:r>
        <w:rPr>
          <w:rFonts w:cs="Arial"/>
          <w:b/>
        </w:rPr>
        <w:t xml:space="preserve"> </w:t>
      </w:r>
      <w:r w:rsidRPr="001B5F2B">
        <w:rPr>
          <w:rFonts w:cs="Arial"/>
          <w:b/>
        </w:rPr>
        <w:t xml:space="preserve">must </w:t>
      </w:r>
      <w:r>
        <w:rPr>
          <w:rFonts w:cs="Arial"/>
          <w:b/>
        </w:rPr>
        <w:t>be recognised by the Medical Scientists Registration Board at CORU</w:t>
      </w:r>
      <w:r w:rsidRPr="001B5F2B">
        <w:rPr>
          <w:rFonts w:cs="Arial"/>
          <w:b/>
        </w:rPr>
        <w:t xml:space="preserve">.  </w:t>
      </w:r>
    </w:p>
    <w:p w:rsidR="00A45E94" w:rsidRDefault="00A45E94" w:rsidP="00A45E94">
      <w:pPr>
        <w:jc w:val="both"/>
        <w:rPr>
          <w:rFonts w:cs="Arial"/>
          <w:b/>
        </w:rPr>
      </w:pPr>
    </w:p>
    <w:p w:rsidR="00A45E94" w:rsidRDefault="00A45E94" w:rsidP="00A45E94">
      <w:pPr>
        <w:jc w:val="both"/>
        <w:rPr>
          <w:rFonts w:cs="Arial"/>
          <w:iCs/>
          <w:lang w:val="en-US"/>
        </w:rPr>
      </w:pPr>
      <w:r w:rsidRPr="001B5F2B">
        <w:rPr>
          <w:rFonts w:cs="Arial"/>
        </w:rPr>
        <w:t>Applicants who are successful at interview and have qualified outside of the Republic of Ireland will remain dormant</w:t>
      </w:r>
      <w:r>
        <w:rPr>
          <w:rFonts w:cs="Arial"/>
        </w:rPr>
        <w:t>*</w:t>
      </w:r>
      <w:r w:rsidRPr="001B5F2B">
        <w:rPr>
          <w:rFonts w:cs="Arial"/>
        </w:rPr>
        <w:t xml:space="preserve"> on panels and will not be offered any post until they have informed </w:t>
      </w:r>
      <w:r>
        <w:rPr>
          <w:rFonts w:cs="Arial"/>
        </w:rPr>
        <w:t xml:space="preserve">HBS Recruit </w:t>
      </w:r>
      <w:r w:rsidRPr="001B5F2B">
        <w:rPr>
          <w:rFonts w:cs="Arial"/>
        </w:rPr>
        <w:t xml:space="preserve">that their qualifications have been </w:t>
      </w:r>
      <w:r>
        <w:rPr>
          <w:rFonts w:cs="Arial"/>
        </w:rPr>
        <w:t>recognised.</w:t>
      </w:r>
      <w:r w:rsidRPr="001B5F2B">
        <w:rPr>
          <w:rFonts w:cs="Arial"/>
          <w:b/>
        </w:rPr>
        <w:t xml:space="preserve">  </w:t>
      </w:r>
      <w:r w:rsidRPr="001B5F2B">
        <w:rPr>
          <w:rFonts w:cs="Arial"/>
        </w:rPr>
        <w:t xml:space="preserve"> If you are offered a post and it subsequently emerges that your qualifications are not </w:t>
      </w:r>
      <w:r>
        <w:rPr>
          <w:rFonts w:cs="Arial"/>
        </w:rPr>
        <w:t>recognised</w:t>
      </w:r>
      <w:r w:rsidRPr="001B5F2B">
        <w:rPr>
          <w:rFonts w:cs="Arial"/>
        </w:rPr>
        <w:t xml:space="preserve"> </w:t>
      </w:r>
      <w:r w:rsidRPr="001B5F2B">
        <w:rPr>
          <w:rFonts w:cs="Arial"/>
          <w:iCs/>
          <w:lang w:val="en-US"/>
        </w:rPr>
        <w:t>the job offer will be withdrawn and you will be made dormant on the panel.</w:t>
      </w:r>
    </w:p>
    <w:p w:rsidR="00A45E94" w:rsidRPr="00281739" w:rsidRDefault="00A45E94" w:rsidP="00A45E94">
      <w:pPr>
        <w:autoSpaceDE w:val="0"/>
        <w:autoSpaceDN w:val="0"/>
        <w:adjustRightInd w:val="0"/>
        <w:ind w:left="720"/>
        <w:jc w:val="both"/>
        <w:rPr>
          <w:rFonts w:cs="Arial"/>
        </w:rPr>
      </w:pPr>
    </w:p>
    <w:p w:rsidR="00A45E94" w:rsidRPr="00E738C2" w:rsidRDefault="00A45E94" w:rsidP="00A45E94">
      <w:pPr>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541A2C" w:rsidRDefault="00A45E94" w:rsidP="00A45E94">
      <w:pPr>
        <w:rPr>
          <w:rFonts w:cs="Arial"/>
          <w:b/>
        </w:rPr>
      </w:pPr>
      <w:r>
        <w:rPr>
          <w:rFonts w:cs="Arial"/>
          <w:b/>
        </w:rPr>
        <w:t>________________________________</w:t>
      </w:r>
    </w:p>
    <w:p w:rsidR="00541A2C" w:rsidRDefault="00541A2C" w:rsidP="00D808E4">
      <w:pPr>
        <w:ind w:left="360"/>
        <w:rPr>
          <w:rFonts w:cs="Arial"/>
          <w:b/>
        </w:rPr>
      </w:pPr>
    </w:p>
    <w:p w:rsidR="00541A2C" w:rsidRDefault="00541A2C" w:rsidP="00D808E4">
      <w:pPr>
        <w:ind w:left="360"/>
        <w:rPr>
          <w:rFonts w:cs="Arial"/>
          <w:b/>
        </w:rPr>
      </w:pPr>
    </w:p>
    <w:p w:rsidR="00DC69E2" w:rsidRDefault="00DC69E2" w:rsidP="00D808E4">
      <w:pPr>
        <w:ind w:left="360"/>
        <w:rPr>
          <w:rFonts w:cs="Arial"/>
          <w:b/>
        </w:rPr>
      </w:pPr>
    </w:p>
    <w:p w:rsidR="00541A2C" w:rsidRDefault="00541A2C" w:rsidP="00D808E4">
      <w:pPr>
        <w:ind w:left="360"/>
        <w:rPr>
          <w:rFonts w:cs="Arial"/>
          <w:b/>
        </w:rPr>
      </w:pPr>
    </w:p>
    <w:p w:rsidR="00DC69E2" w:rsidRDefault="00DC69E2" w:rsidP="00D808E4">
      <w:pPr>
        <w:ind w:left="360"/>
        <w:rPr>
          <w:rFonts w:cs="Arial"/>
          <w:b/>
        </w:rPr>
      </w:pPr>
    </w:p>
    <w:p w:rsidR="00DC69E2" w:rsidRDefault="00DC69E2" w:rsidP="00D808E4">
      <w:pPr>
        <w:ind w:left="360"/>
        <w:rPr>
          <w:rFonts w:cs="Arial"/>
          <w:b/>
        </w:rPr>
      </w:pPr>
    </w:p>
    <w:p w:rsidR="00DC69E2" w:rsidRDefault="00DC69E2"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6"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This process will be initiated by HBS Recruit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BD541B" w:rsidP="006158B7">
      <w:pPr>
        <w:ind w:left="-360"/>
        <w:jc w:val="both"/>
        <w:rPr>
          <w:rFonts w:cs="Arial"/>
        </w:rPr>
      </w:pPr>
      <w:hyperlink r:id="rId17"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D541B"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D541B"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BD541B" w:rsidP="006158B7">
      <w:pPr>
        <w:ind w:left="-360"/>
        <w:jc w:val="both"/>
        <w:rPr>
          <w:rFonts w:cs="Arial"/>
        </w:rPr>
      </w:pPr>
      <w:hyperlink r:id="rId20"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FD4283" w:rsidRPr="008F59BA" w:rsidRDefault="00FD4283" w:rsidP="006158B7">
      <w:pPr>
        <w:ind w:left="-360"/>
        <w:rPr>
          <w:rFonts w:cs="Arial"/>
        </w:rPr>
      </w:pP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lastRenderedPageBreak/>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Pr="00DC69E2" w:rsidRDefault="00BA2267" w:rsidP="00BA2267">
      <w:pPr>
        <w:autoSpaceDE w:val="0"/>
        <w:autoSpaceDN w:val="0"/>
        <w:adjustRightInd w:val="0"/>
        <w:spacing w:line="240" w:lineRule="atLeast"/>
        <w:rPr>
          <w:rFonts w:cs="Arial"/>
          <w:b/>
          <w:bCs/>
          <w:color w:val="000000"/>
        </w:rPr>
      </w:pPr>
      <w:r w:rsidRPr="00DC69E2">
        <w:rPr>
          <w:rFonts w:cs="Arial"/>
          <w:b/>
          <w:bCs/>
          <w:color w:val="000000"/>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1B" w:rsidRDefault="00BD541B">
      <w:r>
        <w:separator/>
      </w:r>
    </w:p>
  </w:endnote>
  <w:endnote w:type="continuationSeparator" w:id="0">
    <w:p w:rsidR="00BD541B" w:rsidRDefault="00B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100DA6" w:rsidRDefault="00CA4FC3" w:rsidP="00BE366C">
    <w:pPr>
      <w:pStyle w:val="Footer"/>
      <w:tabs>
        <w:tab w:val="left" w:pos="1290"/>
      </w:tabs>
      <w:rPr>
        <w:rFonts w:ascii="Arial" w:hAnsi="Arial"/>
        <w:iCs/>
        <w:color w:val="000000" w:themeColor="text1"/>
        <w:sz w:val="20"/>
      </w:rPr>
    </w:pPr>
    <w:r w:rsidRPr="00176309">
      <w:rPr>
        <w:rFonts w:ascii="Arial" w:hAnsi="Arial"/>
        <w:iCs/>
        <w:sz w:val="20"/>
      </w:rPr>
      <w:t>HBS</w:t>
    </w:r>
    <w:r w:rsidR="00DC69E2">
      <w:rPr>
        <w:rFonts w:ascii="Arial" w:hAnsi="Arial"/>
        <w:iCs/>
        <w:sz w:val="20"/>
      </w:rPr>
      <w:t>09</w:t>
    </w:r>
    <w:r w:rsidR="00A45E94">
      <w:rPr>
        <w:rFonts w:ascii="Arial" w:hAnsi="Arial"/>
        <w:iCs/>
        <w:sz w:val="20"/>
      </w:rPr>
      <w:t>60</w:t>
    </w:r>
    <w:r w:rsidR="00DC69E2">
      <w:rPr>
        <w:rFonts w:ascii="Arial" w:hAnsi="Arial"/>
        <w:iCs/>
        <w:sz w:val="20"/>
      </w:rPr>
      <w:t>7</w:t>
    </w:r>
    <w:r w:rsidR="00A45E94">
      <w:rPr>
        <w:rFonts w:ascii="Arial" w:hAnsi="Arial"/>
        <w:iCs/>
        <w:sz w:val="20"/>
      </w:rPr>
      <w:t xml:space="preserve"> Medical Scientist, Staff Grade (Microbiology)</w:t>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250121">
      <w:rPr>
        <w:rFonts w:ascii="Arial" w:hAnsi="Arial" w:cs="Arial"/>
        <w:noProof/>
        <w:sz w:val="20"/>
      </w:rPr>
      <w:t>1</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1B" w:rsidRDefault="00BD541B">
      <w:r>
        <w:separator/>
      </w:r>
    </w:p>
  </w:footnote>
  <w:footnote w:type="continuationSeparator" w:id="0">
    <w:p w:rsidR="00BD541B" w:rsidRDefault="00BD54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9"/>
  </w:num>
  <w:num w:numId="7">
    <w:abstractNumId w:val="4"/>
  </w:num>
  <w:num w:numId="8">
    <w:abstractNumId w:val="7"/>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0604"/>
    <w:rsid w:val="000240D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C735C"/>
    <w:rsid w:val="000D55E5"/>
    <w:rsid w:val="000D5A09"/>
    <w:rsid w:val="000D7BED"/>
    <w:rsid w:val="000E25B5"/>
    <w:rsid w:val="000E3B72"/>
    <w:rsid w:val="000E64CA"/>
    <w:rsid w:val="000E67BA"/>
    <w:rsid w:val="000F124E"/>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D7204"/>
    <w:rsid w:val="001E1D56"/>
    <w:rsid w:val="00207332"/>
    <w:rsid w:val="00217452"/>
    <w:rsid w:val="00227C3D"/>
    <w:rsid w:val="00236219"/>
    <w:rsid w:val="0024216E"/>
    <w:rsid w:val="002442F4"/>
    <w:rsid w:val="00246447"/>
    <w:rsid w:val="00250121"/>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19FA"/>
    <w:rsid w:val="003D3BC4"/>
    <w:rsid w:val="003D7284"/>
    <w:rsid w:val="003E1D98"/>
    <w:rsid w:val="00400EA6"/>
    <w:rsid w:val="004020F2"/>
    <w:rsid w:val="0040601D"/>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3ABC"/>
    <w:rsid w:val="005E76F3"/>
    <w:rsid w:val="005F28FD"/>
    <w:rsid w:val="00601E63"/>
    <w:rsid w:val="00603B2A"/>
    <w:rsid w:val="0061247F"/>
    <w:rsid w:val="00614ED5"/>
    <w:rsid w:val="006158B7"/>
    <w:rsid w:val="006239B9"/>
    <w:rsid w:val="00625683"/>
    <w:rsid w:val="00626888"/>
    <w:rsid w:val="00627053"/>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679BD"/>
    <w:rsid w:val="0077128D"/>
    <w:rsid w:val="0077172E"/>
    <w:rsid w:val="0077237D"/>
    <w:rsid w:val="0078250C"/>
    <w:rsid w:val="007C3199"/>
    <w:rsid w:val="007C3E57"/>
    <w:rsid w:val="007C596D"/>
    <w:rsid w:val="007E5983"/>
    <w:rsid w:val="007F32A0"/>
    <w:rsid w:val="007F5E22"/>
    <w:rsid w:val="00806249"/>
    <w:rsid w:val="0080686B"/>
    <w:rsid w:val="008101E6"/>
    <w:rsid w:val="00811ECB"/>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D1AB5"/>
    <w:rsid w:val="009D30ED"/>
    <w:rsid w:val="009D3495"/>
    <w:rsid w:val="009D3950"/>
    <w:rsid w:val="009D6EFD"/>
    <w:rsid w:val="009E0C8A"/>
    <w:rsid w:val="009E10DE"/>
    <w:rsid w:val="009E5574"/>
    <w:rsid w:val="009E5E0D"/>
    <w:rsid w:val="009F16D2"/>
    <w:rsid w:val="009F46AA"/>
    <w:rsid w:val="00A02C43"/>
    <w:rsid w:val="00A035D2"/>
    <w:rsid w:val="00A11F85"/>
    <w:rsid w:val="00A21DE4"/>
    <w:rsid w:val="00A24233"/>
    <w:rsid w:val="00A267BD"/>
    <w:rsid w:val="00A318D2"/>
    <w:rsid w:val="00A40AA6"/>
    <w:rsid w:val="00A42FB5"/>
    <w:rsid w:val="00A45E94"/>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16DF9"/>
    <w:rsid w:val="00B20054"/>
    <w:rsid w:val="00B24B05"/>
    <w:rsid w:val="00B27705"/>
    <w:rsid w:val="00B4413B"/>
    <w:rsid w:val="00B467DE"/>
    <w:rsid w:val="00B54673"/>
    <w:rsid w:val="00B80353"/>
    <w:rsid w:val="00B92FC6"/>
    <w:rsid w:val="00B93C6D"/>
    <w:rsid w:val="00B9566E"/>
    <w:rsid w:val="00BA17F9"/>
    <w:rsid w:val="00BA2267"/>
    <w:rsid w:val="00BA4AB3"/>
    <w:rsid w:val="00BC4948"/>
    <w:rsid w:val="00BC4E29"/>
    <w:rsid w:val="00BC59A3"/>
    <w:rsid w:val="00BD541B"/>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769A9"/>
    <w:rsid w:val="00C928F9"/>
    <w:rsid w:val="00C95B23"/>
    <w:rsid w:val="00C966AF"/>
    <w:rsid w:val="00C97DCC"/>
    <w:rsid w:val="00CA03A6"/>
    <w:rsid w:val="00CA23F4"/>
    <w:rsid w:val="00CA4FC3"/>
    <w:rsid w:val="00CA5E50"/>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4C24"/>
    <w:rsid w:val="00DA7704"/>
    <w:rsid w:val="00DB5784"/>
    <w:rsid w:val="00DC07A1"/>
    <w:rsid w:val="00DC0BD4"/>
    <w:rsid w:val="00DC5560"/>
    <w:rsid w:val="00DC69E2"/>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145E"/>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C4B32"/>
    <w:rsid w:val="00FD4283"/>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6D5432E4-3DA6-4AE2-A3C6-126D765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styleId="CommentReference">
    <w:name w:val="annotation reference"/>
    <w:uiPriority w:val="99"/>
    <w:semiHidden/>
    <w:rsid w:val="00A45E94"/>
    <w:rPr>
      <w:sz w:val="16"/>
      <w:szCs w:val="16"/>
    </w:rPr>
  </w:style>
  <w:style w:type="paragraph" w:styleId="FootnoteText">
    <w:name w:val="footnote text"/>
    <w:basedOn w:val="Normal"/>
    <w:link w:val="FootnoteTextChar"/>
    <w:uiPriority w:val="99"/>
    <w:unhideWhenUsed/>
    <w:rsid w:val="00A45E94"/>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A45E9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45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u.ie/about-us/registration-boards/medical-scientists-registration-board/apply-for-registration/"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s://dbei.gov.ie/en/"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u.ie/about-us/registration-boards/medical-scientists-registration-board/apply-for-registration/"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ru.ie/about-us/registration-boards/medical-scientists-registration-board/apply-for-registr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866D-314E-4263-B503-C3706678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5352</Words>
  <Characters>30512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35793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Monaghan, Nadine, MPH</cp:lastModifiedBy>
  <cp:revision>2</cp:revision>
  <cp:lastPrinted>2020-03-25T10:41:00Z</cp:lastPrinted>
  <dcterms:created xsi:type="dcterms:W3CDTF">2020-11-20T16:25:00Z</dcterms:created>
  <dcterms:modified xsi:type="dcterms:W3CDTF">2020-11-20T16:25:00Z</dcterms:modified>
</cp:coreProperties>
</file>