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B27C86">
      <w:pPr>
        <w:framePr w:h="2791" w:hRule="exact" w:hSpace="180" w:wrap="around" w:vAnchor="text" w:hAnchor="page" w:x="1516" w:y="-254"/>
        <w:ind w:left="1800" w:hanging="720"/>
        <w:jc w:val="both"/>
      </w:pPr>
      <w:r>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B15DEA" w:rsidRDefault="00B15DEA" w:rsidP="00B15DEA">
      <w:pPr>
        <w:framePr w:h="2791" w:hRule="exact" w:hSpace="180" w:wrap="around" w:vAnchor="text" w:hAnchor="page" w:x="1516" w:y="-254"/>
        <w:ind w:left="1800" w:hanging="720"/>
        <w:rPr>
          <w:rStyle w:val="InternetLink"/>
          <w:rFonts w:cs="Arial"/>
          <w:b/>
          <w:i/>
          <w:color w:val="auto"/>
          <w:sz w:val="16"/>
          <w:szCs w:val="16"/>
          <w:u w:val="none"/>
        </w:rPr>
      </w:pPr>
      <w:r>
        <w:rPr>
          <w:noProof/>
        </w:rPr>
        <w:drawing>
          <wp:inline distT="0" distB="0" distL="0" distR="0" wp14:anchorId="1B97D604" wp14:editId="2AFA1379">
            <wp:extent cx="1057275" cy="1057275"/>
            <wp:effectExtent l="0" t="0" r="9525" b="9525"/>
            <wp:docPr id="1" name="Picture 1" descr="cid:image001.jpg@01DB305A.6B3A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B305A.6B3AFF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B15DEA" w:rsidRDefault="00B15DEA" w:rsidP="00B15DEA">
      <w:pPr>
        <w:framePr w:h="2791" w:hRule="exact" w:hSpace="180" w:wrap="around" w:vAnchor="text" w:hAnchor="page" w:x="1516" w:y="-254"/>
        <w:ind w:left="1800" w:hanging="720"/>
        <w:jc w:val="right"/>
        <w:rPr>
          <w:rStyle w:val="InternetLink"/>
          <w:rFonts w:cs="Arial"/>
          <w:b/>
          <w:i/>
          <w:color w:val="auto"/>
          <w:sz w:val="16"/>
          <w:szCs w:val="16"/>
          <w:u w:val="none"/>
        </w:rPr>
      </w:pPr>
    </w:p>
    <w:p w:rsidR="00B15DEA" w:rsidRDefault="00B15DEA" w:rsidP="00B15DEA">
      <w:pPr>
        <w:framePr w:h="2791" w:hRule="exact" w:hSpace="180" w:wrap="around" w:vAnchor="text" w:hAnchor="page" w:x="1516" w:y="-254"/>
        <w:ind w:left="1800" w:hanging="720"/>
        <w:rPr>
          <w:rStyle w:val="InternetLink"/>
          <w:rFonts w:cs="Arial"/>
          <w:b/>
          <w:i/>
          <w:color w:val="auto"/>
          <w:sz w:val="16"/>
          <w:szCs w:val="16"/>
          <w:u w:val="none"/>
        </w:rPr>
      </w:pPr>
    </w:p>
    <w:p w:rsidR="00B15DEA" w:rsidRDefault="00B15DEA"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B15DEA" w:rsidRDefault="00B15DEA"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D037A5" w:rsidRPr="003F5197" w:rsidRDefault="00D037A5" w:rsidP="00D037A5">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w:t>
      </w:r>
      <w:r w:rsidR="00E578CE">
        <w:rPr>
          <w:rFonts w:asciiTheme="minorHAnsi" w:hAnsiTheme="minorHAnsi"/>
          <w:b/>
          <w:i/>
          <w:sz w:val="16"/>
          <w:szCs w:val="16"/>
        </w:rPr>
        <w:t>91 KC6F</w:t>
      </w:r>
    </w:p>
    <w:p w:rsidR="001D09DA" w:rsidRPr="003F5197" w:rsidRDefault="00B06C3C" w:rsidP="00B27C86">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1D09DA" w:rsidRPr="00EB1429" w:rsidRDefault="001D09DA" w:rsidP="00B27C86">
      <w:pPr>
        <w:framePr w:h="2791" w:hRule="exact" w:hSpace="180" w:wrap="around" w:vAnchor="text" w:hAnchor="page" w:x="1516" w:y="-254"/>
        <w:ind w:left="1800" w:hanging="720"/>
        <w:jc w:val="right"/>
        <w:rPr>
          <w:rFonts w:ascii="Verdana" w:hAnsi="Verdana" w:cs="Arial"/>
          <w:b/>
          <w:bCs/>
          <w:color w:val="365F91"/>
          <w:sz w:val="16"/>
          <w:szCs w:val="16"/>
          <w:lang w:val="de-DE"/>
        </w:rPr>
      </w:pPr>
    </w:p>
    <w:p w:rsidR="001D09DA" w:rsidRPr="00EB1429" w:rsidRDefault="001D09DA" w:rsidP="00B27C86">
      <w:pPr>
        <w:framePr w:h="2791" w:hRule="exact" w:hSpace="180" w:wrap="around" w:vAnchor="text" w:hAnchor="page" w:x="1516" w:y="-25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B27C86">
      <w:pPr>
        <w:framePr w:h="2791" w:hRule="exact" w:hSpace="180" w:wrap="around" w:vAnchor="text" w:hAnchor="page" w:x="1516" w:y="-25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B27C86">
      <w:pPr>
        <w:framePr w:h="2791" w:hRule="exact" w:hSpace="180" w:wrap="around" w:vAnchor="text" w:hAnchor="page" w:x="1516" w:y="-254"/>
        <w:ind w:left="1800" w:hanging="720"/>
        <w:jc w:val="center"/>
        <w:rPr>
          <w:rFonts w:ascii="Verdana" w:hAnsi="Verdana" w:cs="Arial"/>
          <w:b/>
          <w:bCs/>
          <w:sz w:val="16"/>
          <w:szCs w:val="16"/>
          <w:lang w:val="de-DE"/>
        </w:rPr>
      </w:pPr>
    </w:p>
    <w:p w:rsidR="001D09DA" w:rsidRDefault="001D09DA" w:rsidP="00B27C86">
      <w:pPr>
        <w:framePr w:h="2791" w:hRule="exact" w:hSpace="180" w:wrap="around" w:vAnchor="text" w:hAnchor="page" w:x="1516" w:y="-254"/>
        <w:ind w:left="1800" w:hanging="720"/>
        <w:jc w:val="right"/>
      </w:pPr>
    </w:p>
    <w:p w:rsidR="006314D2" w:rsidRDefault="00B15DEA" w:rsidP="00B14C43">
      <w:pPr>
        <w:rPr>
          <w:rFonts w:cs="Arial"/>
          <w:noProof/>
        </w:rPr>
      </w:pPr>
      <w:r>
        <w:rPr>
          <w:rFonts w:cs="Arial"/>
          <w:noProof/>
        </w:rPr>
        <w:drawing>
          <wp:anchor distT="0" distB="0" distL="114300" distR="114300" simplePos="0" relativeHeight="251656704" behindDoc="1" locked="0" layoutInCell="1" allowOverlap="1">
            <wp:simplePos x="0" y="0"/>
            <wp:positionH relativeFrom="column">
              <wp:posOffset>3035935</wp:posOffset>
            </wp:positionH>
            <wp:positionV relativeFrom="paragraph">
              <wp:posOffset>0</wp:posOffset>
            </wp:positionV>
            <wp:extent cx="3252470" cy="800100"/>
            <wp:effectExtent l="0" t="0" r="5080" b="0"/>
            <wp:wrapTight wrapText="bothSides">
              <wp:wrapPolygon edited="0">
                <wp:start x="0" y="0"/>
                <wp:lineTo x="0" y="21086"/>
                <wp:lineTo x="21507" y="21086"/>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800100"/>
                    </a:xfrm>
                    <a:prstGeom prst="rect">
                      <a:avLst/>
                    </a:prstGeom>
                    <a:noFill/>
                  </pic:spPr>
                </pic:pic>
              </a:graphicData>
            </a:graphic>
            <wp14:sizeRelH relativeFrom="margin">
              <wp14:pctWidth>0</wp14:pctWidth>
            </wp14:sizeRelH>
            <wp14:sizeRelV relativeFrom="margin">
              <wp14:pctHeight>0</wp14:pctHeight>
            </wp14:sizeRelV>
          </wp:anchor>
        </w:drawing>
      </w:r>
    </w:p>
    <w:p w:rsidR="001A519A" w:rsidRPr="00E21DCB" w:rsidRDefault="008635B7"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B17F6A" w:rsidRPr="00B17F6A" w:rsidRDefault="00EA5FD9" w:rsidP="00B17F6A">
      <w:pPr>
        <w:pStyle w:val="Footer"/>
        <w:jc w:val="center"/>
        <w:rPr>
          <w:rFonts w:ascii="Arial" w:hAnsi="Arial" w:cs="Arial"/>
          <w:b/>
          <w:iCs/>
          <w:sz w:val="20"/>
        </w:rPr>
      </w:pPr>
      <w:r>
        <w:rPr>
          <w:rFonts w:ascii="Arial" w:hAnsi="Arial" w:cs="Arial"/>
          <w:b/>
          <w:iCs/>
          <w:sz w:val="20"/>
        </w:rPr>
        <w:t>Clinical Nurse Manager 1 Emergency Department</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B17F6A" w:rsidP="000033B4">
      <w:pPr>
        <w:jc w:val="center"/>
        <w:rPr>
          <w:b/>
          <w:bCs/>
        </w:rPr>
      </w:pPr>
      <w:r>
        <w:rPr>
          <w:b/>
          <w:bCs/>
        </w:rPr>
        <w:t>SLIGO</w:t>
      </w:r>
      <w:r w:rsidR="00EA5FD9">
        <w:rPr>
          <w:b/>
          <w:bCs/>
        </w:rPr>
        <w:t xml:space="preserve"> 0515</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8635B7" w:rsidRPr="00A957D2" w:rsidRDefault="008635B7" w:rsidP="00FC4063">
      <w:pPr>
        <w:pStyle w:val="ListParagraph"/>
        <w:numPr>
          <w:ilvl w:val="0"/>
          <w:numId w:val="7"/>
        </w:numPr>
        <w:rPr>
          <w:rFonts w:ascii="Arial" w:hAnsi="Arial" w:cs="Arial"/>
        </w:rPr>
      </w:pPr>
      <w:r w:rsidRPr="00A957D2">
        <w:rPr>
          <w:rFonts w:ascii="Arial" w:hAnsi="Arial" w:cs="Arial"/>
        </w:rPr>
        <w:t xml:space="preserve">You must submit a fully completed Application Form particular to this post through </w:t>
      </w:r>
      <w:proofErr w:type="spellStart"/>
      <w:r w:rsidRPr="00A957D2">
        <w:rPr>
          <w:rFonts w:ascii="Arial" w:hAnsi="Arial" w:cs="Arial"/>
        </w:rPr>
        <w:t>Rezoomo</w:t>
      </w:r>
      <w:proofErr w:type="spellEnd"/>
      <w:r w:rsidRPr="00A957D2">
        <w:rPr>
          <w:rFonts w:ascii="Arial" w:hAnsi="Arial" w:cs="Arial"/>
        </w:rPr>
        <w:t xml:space="preserve"> only at  </w:t>
      </w:r>
      <w:hyperlink r:id="rId11" w:history="1">
        <w:r w:rsidR="00FC4063" w:rsidRPr="00A705B6">
          <w:rPr>
            <w:rStyle w:val="Hyperlink"/>
            <w:rFonts w:ascii="Arial" w:hAnsi="Arial" w:cs="Arial"/>
            <w:b/>
          </w:rPr>
          <w:t>https://www.rezoomo.com/job/74154/</w:t>
        </w:r>
      </w:hyperlink>
      <w:r w:rsidR="00FC4063">
        <w:rPr>
          <w:rFonts w:ascii="Arial" w:hAnsi="Arial" w:cs="Arial"/>
          <w:b/>
        </w:rPr>
        <w:t xml:space="preserve"> </w:t>
      </w:r>
    </w:p>
    <w:p w:rsidR="008635B7" w:rsidRPr="00A957D2" w:rsidRDefault="008635B7" w:rsidP="008635B7">
      <w:pPr>
        <w:pStyle w:val="ListParagraph"/>
        <w:numPr>
          <w:ilvl w:val="0"/>
          <w:numId w:val="7"/>
        </w:numPr>
        <w:rPr>
          <w:rFonts w:ascii="Arial" w:hAnsi="Arial" w:cs="Arial"/>
        </w:rPr>
      </w:pPr>
      <w:r w:rsidRPr="00A957D2">
        <w:rPr>
          <w:rFonts w:ascii="Arial" w:hAnsi="Arial" w:cs="Arial"/>
        </w:rPr>
        <w:t>There is no need to sign e-mailed applications; we will request candidates to sign their application form at interview.</w:t>
      </w:r>
    </w:p>
    <w:p w:rsidR="008635B7" w:rsidRPr="008F59BA" w:rsidRDefault="008635B7" w:rsidP="008635B7">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8635B7" w:rsidRDefault="008635B7" w:rsidP="008635B7">
      <w:pPr>
        <w:pStyle w:val="ListParagraph"/>
        <w:numPr>
          <w:ilvl w:val="0"/>
          <w:numId w:val="5"/>
        </w:numPr>
        <w:autoSpaceDE w:val="0"/>
        <w:autoSpaceDN w:val="0"/>
        <w:adjustRightInd w:val="0"/>
        <w:jc w:val="both"/>
        <w:rPr>
          <w:rFonts w:ascii="Arial" w:hAnsi="Arial" w:cs="Arial"/>
          <w:lang w:val="en-IE" w:eastAsia="en-IE"/>
        </w:rPr>
      </w:pPr>
      <w:r>
        <w:rPr>
          <w:rFonts w:ascii="Arial" w:hAnsi="Arial" w:cs="Arial"/>
          <w:lang w:val="en-IE" w:eastAsia="en-IE"/>
        </w:rPr>
        <w:t>A</w:t>
      </w:r>
      <w:r w:rsidRPr="00FE3A0C">
        <w:rPr>
          <w:rFonts w:ascii="Arial" w:hAnsi="Arial" w:cs="Arial"/>
          <w:lang w:val="en-IE" w:eastAsia="en-IE"/>
        </w:rPr>
        <w:t>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bookmarkStart w:id="0" w:name="_GoBack"/>
      <w:bookmarkEnd w:id="0"/>
    </w:p>
    <w:p w:rsidR="008635B7" w:rsidRPr="006778F0" w:rsidRDefault="008635B7" w:rsidP="008635B7">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216235" w:rsidRDefault="005A2919" w:rsidP="0021623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077027" w:rsidRPr="001F7C99">
        <w:rPr>
          <w:b/>
          <w:iCs/>
          <w:u w:val="single"/>
        </w:rPr>
        <w:t xml:space="preserve">12 noon on </w:t>
      </w:r>
      <w:r w:rsidR="00B15DEA">
        <w:rPr>
          <w:b/>
          <w:iCs/>
          <w:u w:val="single"/>
        </w:rPr>
        <w:t xml:space="preserve">Monday </w:t>
      </w:r>
      <w:r w:rsidR="003D5B50">
        <w:rPr>
          <w:b/>
          <w:iCs/>
          <w:u w:val="single"/>
        </w:rPr>
        <w:t>20</w:t>
      </w:r>
      <w:r w:rsidR="003D5B50" w:rsidRPr="003D5B50">
        <w:rPr>
          <w:b/>
          <w:iCs/>
          <w:u w:val="single"/>
          <w:vertAlign w:val="superscript"/>
        </w:rPr>
        <w:t>th</w:t>
      </w:r>
      <w:r w:rsidR="00B01246">
        <w:rPr>
          <w:b/>
          <w:iCs/>
          <w:u w:val="single"/>
        </w:rPr>
        <w:t xml:space="preserve"> January 2025</w:t>
      </w:r>
      <w:r w:rsidR="00E21DCB" w:rsidRPr="001F7C99">
        <w:rPr>
          <w:rFonts w:cs="Arial"/>
          <w:b/>
          <w:iCs/>
          <w:u w:val="single"/>
        </w:rPr>
        <w:t>.</w:t>
      </w:r>
      <w:r w:rsidR="00081697" w:rsidRPr="001F7C99">
        <w:rPr>
          <w:rFonts w:cs="Arial"/>
          <w:b/>
          <w:iCs/>
        </w:rPr>
        <w:t xml:space="preserve"> </w:t>
      </w:r>
      <w:r w:rsidR="00C95B23" w:rsidRPr="00216235">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w:t>
      </w:r>
      <w:r w:rsidR="008635B7">
        <w:rPr>
          <w:rFonts w:cs="Arial"/>
        </w:rPr>
        <w:t xml:space="preserve">through </w:t>
      </w:r>
      <w:proofErr w:type="spellStart"/>
      <w:r w:rsidR="008635B7">
        <w:rPr>
          <w:rFonts w:cs="Arial"/>
        </w:rPr>
        <w:t>Rezoomo</w:t>
      </w:r>
      <w:proofErr w:type="spellEnd"/>
      <w:r>
        <w:rPr>
          <w:rFonts w:cs="Arial"/>
        </w:rPr>
        <w:t xml:space="preserve">. Some </w:t>
      </w:r>
      <w:r w:rsidR="009C09E7">
        <w:rPr>
          <w:rFonts w:cs="Arial"/>
        </w:rPr>
        <w:t>communications are sent by post</w:t>
      </w:r>
      <w:r w:rsidR="008635B7">
        <w:rPr>
          <w:rFonts w:cs="Arial"/>
        </w:rPr>
        <w:t xml:space="preserve"> or email</w:t>
      </w:r>
      <w:r w:rsidR="009C09E7">
        <w:rPr>
          <w:rFonts w:cs="Arial"/>
        </w:rPr>
        <w:t xml:space="preserve">,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w:t>
      </w:r>
      <w:proofErr w:type="spellStart"/>
      <w:r w:rsidR="002769AE">
        <w:rPr>
          <w:rFonts w:cs="Arial"/>
        </w:rPr>
        <w:t>Dept</w:t>
      </w:r>
      <w:proofErr w:type="spellEnd"/>
      <w:r w:rsidR="00175568" w:rsidRPr="00175568">
        <w:rPr>
          <w:rFonts w:cs="Arial"/>
        </w:rPr>
        <w:t xml:space="preserve">, </w:t>
      </w:r>
      <w:r w:rsidR="008E22E4">
        <w:rPr>
          <w:rFonts w:cs="Arial"/>
        </w:rPr>
        <w:t>Molloway House,</w:t>
      </w:r>
      <w:r w:rsidR="00923836">
        <w:rPr>
          <w:rFonts w:cs="Arial"/>
        </w:rPr>
        <w:t xml:space="preserve"> </w:t>
      </w:r>
      <w:r w:rsidR="00175568" w:rsidRPr="00175568">
        <w:rPr>
          <w:rFonts w:cs="Arial"/>
        </w:rPr>
        <w:t>Sligo University Hospital (</w:t>
      </w:r>
      <w:r w:rsidR="00B80B02">
        <w:rPr>
          <w:rFonts w:cs="Arial"/>
        </w:rPr>
        <w:t>nurse</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Pr="009B071D" w:rsidRDefault="00305613" w:rsidP="00E578CE">
      <w:pPr>
        <w:jc w:val="both"/>
        <w:rPr>
          <w:rFonts w:cs="Arial"/>
          <w:b/>
          <w:bCs/>
          <w:iCs/>
          <w:u w:val="single"/>
        </w:rPr>
      </w:pPr>
    </w:p>
    <w:p w:rsidR="00305613" w:rsidRDefault="00305613" w:rsidP="00B17F6A">
      <w:pPr>
        <w:jc w:val="both"/>
        <w:rPr>
          <w:rFonts w:cs="Arial"/>
          <w:bCs/>
          <w:iCs/>
        </w:rPr>
      </w:pPr>
    </w:p>
    <w:p w:rsidR="00EA5FD9" w:rsidRPr="00B459DC" w:rsidRDefault="00EA5FD9" w:rsidP="00EA5FD9">
      <w:pPr>
        <w:jc w:val="both"/>
        <w:rPr>
          <w:rFonts w:cs="Arial"/>
          <w:b/>
        </w:rPr>
      </w:pPr>
      <w:r w:rsidRPr="00B459DC">
        <w:rPr>
          <w:rFonts w:cs="Arial"/>
          <w:b/>
        </w:rPr>
        <w:t>Each candidate must, at the latest date for receipt of completed applications for the post possess:</w:t>
      </w:r>
    </w:p>
    <w:p w:rsidR="00EA5FD9" w:rsidRPr="00B459DC" w:rsidRDefault="00EA5FD9" w:rsidP="00EA5FD9">
      <w:pPr>
        <w:jc w:val="both"/>
        <w:rPr>
          <w:rFonts w:cs="Arial"/>
        </w:rPr>
      </w:pPr>
    </w:p>
    <w:p w:rsidR="00EA5FD9" w:rsidRPr="00B459DC" w:rsidRDefault="00EA5FD9" w:rsidP="00EA5FD9">
      <w:pPr>
        <w:jc w:val="both"/>
        <w:rPr>
          <w:rFonts w:cs="Arial"/>
          <w:b/>
        </w:rPr>
      </w:pPr>
      <w:r w:rsidRPr="00B459DC">
        <w:rPr>
          <w:rFonts w:cs="Arial"/>
          <w:b/>
        </w:rPr>
        <w:t xml:space="preserve">1. Professional Qualifications &amp; Experience </w:t>
      </w:r>
    </w:p>
    <w:p w:rsidR="00EA5FD9" w:rsidRPr="00B459DC" w:rsidRDefault="00EA5FD9" w:rsidP="00EA5FD9">
      <w:pPr>
        <w:jc w:val="both"/>
        <w:rPr>
          <w:rFonts w:cs="Arial"/>
        </w:rPr>
      </w:pPr>
    </w:p>
    <w:p w:rsidR="00EA5FD9" w:rsidRPr="006C5983" w:rsidRDefault="00EA5FD9" w:rsidP="00EA5FD9">
      <w:pPr>
        <w:ind w:left="743" w:hanging="425"/>
        <w:jc w:val="both"/>
        <w:rPr>
          <w:rFonts w:cs="Arial"/>
          <w:b/>
        </w:rPr>
      </w:pPr>
      <w:r>
        <w:rPr>
          <w:rFonts w:cs="Arial"/>
        </w:rPr>
        <w:t xml:space="preserve"> (</w:t>
      </w:r>
      <w:proofErr w:type="spellStart"/>
      <w:r>
        <w:rPr>
          <w:rFonts w:cs="Arial"/>
        </w:rPr>
        <w:t>i</w:t>
      </w:r>
      <w:proofErr w:type="spellEnd"/>
      <w:r>
        <w:rPr>
          <w:rFonts w:cs="Arial"/>
        </w:rPr>
        <w:t xml:space="preserve">)    </w:t>
      </w:r>
      <w:r w:rsidRPr="006C5983">
        <w:rPr>
          <w:rFonts w:cs="Arial"/>
        </w:rPr>
        <w:t>Are registered in the relevant division of the Register of Nurses &amp; Midwives maintained by the Nursing and Midwifery Board of Ireland [NMBI] (</w:t>
      </w:r>
      <w:proofErr w:type="spellStart"/>
      <w:r w:rsidRPr="006C5983">
        <w:rPr>
          <w:rFonts w:cs="Arial"/>
        </w:rPr>
        <w:t>Bord</w:t>
      </w:r>
      <w:proofErr w:type="spellEnd"/>
      <w:r w:rsidRPr="006C5983">
        <w:rPr>
          <w:rFonts w:cs="Arial"/>
        </w:rPr>
        <w:t xml:space="preserve"> </w:t>
      </w:r>
      <w:proofErr w:type="spellStart"/>
      <w:r w:rsidRPr="006C5983">
        <w:rPr>
          <w:rFonts w:cs="Arial"/>
        </w:rPr>
        <w:t>Altranais</w:t>
      </w:r>
      <w:proofErr w:type="spellEnd"/>
      <w:r w:rsidRPr="006C5983">
        <w:rPr>
          <w:rFonts w:cs="Arial"/>
        </w:rPr>
        <w:t xml:space="preserve"> </w:t>
      </w:r>
      <w:proofErr w:type="spellStart"/>
      <w:r w:rsidRPr="006C5983">
        <w:rPr>
          <w:rFonts w:cs="Arial"/>
        </w:rPr>
        <w:t>agus</w:t>
      </w:r>
      <w:proofErr w:type="spellEnd"/>
      <w:r w:rsidRPr="006C5983">
        <w:rPr>
          <w:rFonts w:cs="Arial"/>
        </w:rPr>
        <w:t xml:space="preserve"> </w:t>
      </w:r>
      <w:proofErr w:type="spellStart"/>
      <w:r w:rsidRPr="006C5983">
        <w:rPr>
          <w:rFonts w:cs="Arial"/>
        </w:rPr>
        <w:t>Cnáimhseachais</w:t>
      </w:r>
      <w:proofErr w:type="spellEnd"/>
      <w:r w:rsidRPr="006C5983">
        <w:rPr>
          <w:rFonts w:cs="Arial"/>
        </w:rPr>
        <w:t xml:space="preserve"> </w:t>
      </w:r>
      <w:proofErr w:type="spellStart"/>
      <w:r w:rsidRPr="006C5983">
        <w:rPr>
          <w:rFonts w:cs="Arial"/>
        </w:rPr>
        <w:t>na</w:t>
      </w:r>
      <w:proofErr w:type="spellEnd"/>
      <w:r w:rsidRPr="006C5983">
        <w:rPr>
          <w:rFonts w:cs="Arial"/>
        </w:rPr>
        <w:t xml:space="preserve"> </w:t>
      </w:r>
      <w:proofErr w:type="spellStart"/>
      <w:r w:rsidRPr="006C5983">
        <w:rPr>
          <w:rFonts w:cs="Arial"/>
        </w:rPr>
        <w:t>hÉireann</w:t>
      </w:r>
      <w:proofErr w:type="spellEnd"/>
      <w:r w:rsidRPr="006C5983">
        <w:rPr>
          <w:rFonts w:cs="Arial"/>
        </w:rPr>
        <w:t>) or entitled to be so registered.</w:t>
      </w:r>
    </w:p>
    <w:p w:rsidR="00EA5FD9" w:rsidRPr="00B459DC" w:rsidRDefault="00EA5FD9" w:rsidP="00EA5FD9">
      <w:pPr>
        <w:ind w:left="743" w:hanging="425"/>
        <w:jc w:val="both"/>
        <w:rPr>
          <w:rFonts w:cs="Arial"/>
          <w:b/>
        </w:rPr>
      </w:pPr>
      <w:r w:rsidRPr="00B459DC">
        <w:rPr>
          <w:rFonts w:cs="Arial"/>
          <w:b/>
        </w:rPr>
        <w:t>And</w:t>
      </w:r>
    </w:p>
    <w:p w:rsidR="00EA5FD9" w:rsidRPr="00B459DC" w:rsidRDefault="00EA5FD9" w:rsidP="00EA5FD9">
      <w:pPr>
        <w:ind w:left="743" w:hanging="425"/>
        <w:jc w:val="both"/>
        <w:rPr>
          <w:rFonts w:cs="Arial"/>
          <w:b/>
        </w:rPr>
      </w:pPr>
    </w:p>
    <w:p w:rsidR="00EA5FD9" w:rsidRPr="006C5983" w:rsidRDefault="00EA5FD9" w:rsidP="00EA5FD9">
      <w:pPr>
        <w:ind w:left="318"/>
        <w:jc w:val="both"/>
        <w:rPr>
          <w:rFonts w:cs="Arial"/>
        </w:rPr>
      </w:pPr>
      <w:r>
        <w:rPr>
          <w:rFonts w:cs="Arial"/>
        </w:rPr>
        <w:t xml:space="preserve"> (ii)  </w:t>
      </w:r>
      <w:r w:rsidRPr="006C5983">
        <w:rPr>
          <w:rFonts w:cs="Arial"/>
        </w:rPr>
        <w:t xml:space="preserve">Have at least 3 years post registration fulltime experience (or an aggregate of 3 </w:t>
      </w:r>
      <w:r>
        <w:rPr>
          <w:rFonts w:cs="Arial"/>
        </w:rPr>
        <w:t xml:space="preserve">   </w:t>
      </w:r>
      <w:r w:rsidRPr="006C5983">
        <w:rPr>
          <w:rFonts w:cs="Arial"/>
        </w:rPr>
        <w:t>years post registration full time experience) of which 1 year post registration full time experience (or an aggregate of 1 years post registration full time experience) must be in the speciality of Emergency Medicine.</w:t>
      </w:r>
    </w:p>
    <w:p w:rsidR="00EA5FD9" w:rsidRPr="006C5983" w:rsidRDefault="00EA5FD9" w:rsidP="00EA5FD9">
      <w:pPr>
        <w:pStyle w:val="ListParagraph"/>
        <w:ind w:left="743"/>
        <w:jc w:val="both"/>
        <w:rPr>
          <w:rFonts w:ascii="Arial" w:hAnsi="Arial" w:cs="Arial"/>
        </w:rPr>
      </w:pPr>
    </w:p>
    <w:p w:rsidR="00EA5FD9" w:rsidRPr="00B459DC" w:rsidRDefault="00EA5FD9" w:rsidP="00EA5FD9">
      <w:pPr>
        <w:ind w:left="743" w:hanging="425"/>
        <w:jc w:val="both"/>
        <w:rPr>
          <w:rFonts w:cs="Arial"/>
          <w:b/>
        </w:rPr>
      </w:pPr>
      <w:r w:rsidRPr="00B459DC">
        <w:rPr>
          <w:rFonts w:cs="Arial"/>
          <w:b/>
        </w:rPr>
        <w:t>And</w:t>
      </w:r>
    </w:p>
    <w:p w:rsidR="00EA5FD9" w:rsidRPr="00B459DC" w:rsidRDefault="00EA5FD9" w:rsidP="00EA5FD9">
      <w:pPr>
        <w:ind w:left="743" w:hanging="425"/>
        <w:jc w:val="both"/>
        <w:rPr>
          <w:rFonts w:cs="Arial"/>
          <w:b/>
        </w:rPr>
      </w:pPr>
    </w:p>
    <w:p w:rsidR="00EA5FD9" w:rsidRPr="006C5983" w:rsidRDefault="00EA5FD9" w:rsidP="00EA5FD9">
      <w:pPr>
        <w:pStyle w:val="ListParagraph"/>
        <w:numPr>
          <w:ilvl w:val="0"/>
          <w:numId w:val="28"/>
        </w:numPr>
        <w:jc w:val="both"/>
        <w:rPr>
          <w:rFonts w:ascii="Arial" w:hAnsi="Arial" w:cs="Arial"/>
        </w:rPr>
      </w:pPr>
      <w:r w:rsidRPr="006C5983">
        <w:rPr>
          <w:rFonts w:ascii="Arial" w:hAnsi="Arial" w:cs="Arial"/>
        </w:rPr>
        <w:t xml:space="preserve">Have the clinical, managerial and administrative capacity to properly discharge the functions of the role </w:t>
      </w:r>
    </w:p>
    <w:p w:rsidR="00EA5FD9" w:rsidRPr="00B459DC" w:rsidRDefault="00EA5FD9" w:rsidP="00EA5FD9">
      <w:pPr>
        <w:ind w:left="743" w:hanging="425"/>
        <w:jc w:val="both"/>
        <w:rPr>
          <w:rFonts w:cs="Arial"/>
          <w:b/>
        </w:rPr>
      </w:pPr>
      <w:r w:rsidRPr="00B459DC">
        <w:rPr>
          <w:rFonts w:cs="Arial"/>
          <w:b/>
        </w:rPr>
        <w:t>And</w:t>
      </w:r>
    </w:p>
    <w:p w:rsidR="00EA5FD9" w:rsidRPr="00B459DC" w:rsidRDefault="00EA5FD9" w:rsidP="00EA5FD9">
      <w:pPr>
        <w:ind w:left="743" w:hanging="425"/>
        <w:jc w:val="both"/>
        <w:rPr>
          <w:rFonts w:cs="Arial"/>
          <w:b/>
        </w:rPr>
      </w:pPr>
    </w:p>
    <w:p w:rsidR="00EA5FD9" w:rsidRPr="006C5983" w:rsidRDefault="00EA5FD9" w:rsidP="00EA5FD9">
      <w:pPr>
        <w:pStyle w:val="ListParagraph"/>
        <w:numPr>
          <w:ilvl w:val="0"/>
          <w:numId w:val="28"/>
        </w:numPr>
        <w:jc w:val="both"/>
        <w:rPr>
          <w:rFonts w:ascii="Arial" w:hAnsi="Arial" w:cs="Arial"/>
        </w:rPr>
      </w:pPr>
      <w:r w:rsidRPr="006C5983">
        <w:rPr>
          <w:rFonts w:ascii="Arial" w:hAnsi="Arial" w:cs="Arial"/>
        </w:rPr>
        <w:t>Candidates must demonstrate evidence of Continuing Professional Development.</w:t>
      </w:r>
    </w:p>
    <w:p w:rsidR="00EA5FD9" w:rsidRPr="00B459DC" w:rsidRDefault="00EA5FD9" w:rsidP="00EA5FD9">
      <w:pPr>
        <w:jc w:val="both"/>
        <w:rPr>
          <w:rFonts w:cs="Arial"/>
          <w:b/>
        </w:rPr>
      </w:pPr>
    </w:p>
    <w:p w:rsidR="00EA5FD9" w:rsidRPr="00B459DC" w:rsidRDefault="00EA5FD9" w:rsidP="00EA5FD9">
      <w:pPr>
        <w:jc w:val="both"/>
        <w:rPr>
          <w:rFonts w:cs="Arial"/>
          <w:b/>
        </w:rPr>
      </w:pPr>
      <w:r w:rsidRPr="00B459DC">
        <w:rPr>
          <w:rFonts w:cs="Arial"/>
          <w:b/>
        </w:rPr>
        <w:t>2. Annual registration</w:t>
      </w:r>
    </w:p>
    <w:p w:rsidR="00EA5FD9" w:rsidRPr="00B459DC" w:rsidRDefault="00EA5FD9" w:rsidP="00EA5FD9">
      <w:pPr>
        <w:pStyle w:val="ListParagraph"/>
        <w:numPr>
          <w:ilvl w:val="0"/>
          <w:numId w:val="27"/>
        </w:numPr>
        <w:ind w:left="459" w:hanging="425"/>
        <w:jc w:val="both"/>
        <w:rPr>
          <w:rFonts w:ascii="Arial" w:hAnsi="Arial" w:cs="Arial"/>
        </w:rPr>
      </w:pPr>
      <w:r w:rsidRPr="00B459DC">
        <w:rPr>
          <w:rFonts w:ascii="Arial" w:hAnsi="Arial" w:cs="Arial"/>
        </w:rPr>
        <w:t>Practitioners must maintain live annual registration on the relevant division of the Register of Nurses and Midwives maintained by the Nursing and Midwifery Board of Ireland (</w:t>
      </w:r>
      <w:proofErr w:type="spellStart"/>
      <w:r w:rsidRPr="00B459DC">
        <w:rPr>
          <w:rFonts w:ascii="Arial" w:hAnsi="Arial" w:cs="Arial"/>
        </w:rPr>
        <w:t>Bord</w:t>
      </w:r>
      <w:proofErr w:type="spellEnd"/>
      <w:r w:rsidRPr="00B459DC">
        <w:rPr>
          <w:rFonts w:ascii="Arial" w:hAnsi="Arial" w:cs="Arial"/>
        </w:rPr>
        <w:t xml:space="preserve"> </w:t>
      </w:r>
      <w:proofErr w:type="spellStart"/>
      <w:r w:rsidRPr="00B459DC">
        <w:rPr>
          <w:rFonts w:ascii="Arial" w:hAnsi="Arial" w:cs="Arial"/>
        </w:rPr>
        <w:t>Altranais</w:t>
      </w:r>
      <w:proofErr w:type="spellEnd"/>
      <w:r w:rsidRPr="00B459DC">
        <w:rPr>
          <w:rFonts w:ascii="Arial" w:hAnsi="Arial" w:cs="Arial"/>
        </w:rPr>
        <w:t xml:space="preserve"> </w:t>
      </w:r>
      <w:proofErr w:type="spellStart"/>
      <w:r w:rsidRPr="00B459DC">
        <w:rPr>
          <w:rFonts w:ascii="Arial" w:hAnsi="Arial" w:cs="Arial"/>
        </w:rPr>
        <w:t>agus</w:t>
      </w:r>
      <w:proofErr w:type="spellEnd"/>
      <w:r w:rsidRPr="00B459DC">
        <w:rPr>
          <w:rFonts w:ascii="Arial" w:hAnsi="Arial" w:cs="Arial"/>
        </w:rPr>
        <w:t xml:space="preserve"> </w:t>
      </w:r>
      <w:proofErr w:type="spellStart"/>
      <w:r w:rsidRPr="00B459DC">
        <w:rPr>
          <w:rFonts w:ascii="Arial" w:hAnsi="Arial" w:cs="Arial"/>
        </w:rPr>
        <w:t>Cnáimhseachais</w:t>
      </w:r>
      <w:proofErr w:type="spellEnd"/>
      <w:r w:rsidRPr="00B459DC">
        <w:rPr>
          <w:rFonts w:ascii="Arial" w:hAnsi="Arial" w:cs="Arial"/>
        </w:rPr>
        <w:t xml:space="preserve"> </w:t>
      </w:r>
      <w:proofErr w:type="spellStart"/>
      <w:r w:rsidRPr="00B459DC">
        <w:rPr>
          <w:rFonts w:ascii="Arial" w:hAnsi="Arial" w:cs="Arial"/>
        </w:rPr>
        <w:t>na</w:t>
      </w:r>
      <w:proofErr w:type="spellEnd"/>
      <w:r w:rsidRPr="00B459DC">
        <w:rPr>
          <w:rFonts w:ascii="Arial" w:hAnsi="Arial" w:cs="Arial"/>
        </w:rPr>
        <w:t xml:space="preserve"> </w:t>
      </w:r>
      <w:proofErr w:type="spellStart"/>
      <w:r w:rsidRPr="00B459DC">
        <w:rPr>
          <w:rFonts w:ascii="Arial" w:hAnsi="Arial" w:cs="Arial"/>
        </w:rPr>
        <w:t>hÉireann</w:t>
      </w:r>
      <w:proofErr w:type="spellEnd"/>
      <w:r w:rsidRPr="00B459DC">
        <w:rPr>
          <w:rFonts w:ascii="Arial" w:hAnsi="Arial" w:cs="Arial"/>
        </w:rPr>
        <w:t>).</w:t>
      </w:r>
    </w:p>
    <w:p w:rsidR="00EA5FD9" w:rsidRPr="00B459DC" w:rsidRDefault="00EA5FD9" w:rsidP="00EA5FD9">
      <w:pPr>
        <w:ind w:left="459" w:hanging="425"/>
        <w:jc w:val="both"/>
        <w:rPr>
          <w:rFonts w:cs="Arial"/>
          <w:b/>
        </w:rPr>
      </w:pPr>
      <w:r w:rsidRPr="00B459DC">
        <w:rPr>
          <w:rFonts w:cs="Arial"/>
          <w:b/>
        </w:rPr>
        <w:t>And</w:t>
      </w:r>
    </w:p>
    <w:p w:rsidR="00EA5FD9" w:rsidRPr="00B126C1" w:rsidRDefault="00EA5FD9" w:rsidP="00EA5FD9">
      <w:pPr>
        <w:pStyle w:val="ListParagraph"/>
        <w:numPr>
          <w:ilvl w:val="0"/>
          <w:numId w:val="27"/>
        </w:numPr>
        <w:ind w:left="459" w:hanging="425"/>
        <w:jc w:val="both"/>
        <w:rPr>
          <w:rFonts w:ascii="Arial" w:hAnsi="Arial" w:cs="Arial"/>
        </w:rPr>
      </w:pPr>
      <w:r w:rsidRPr="00B459DC">
        <w:rPr>
          <w:rFonts w:ascii="Arial" w:hAnsi="Arial" w:cs="Arial"/>
        </w:rPr>
        <w:t>Confirm annual registration with NMBI to the HSE by way of the annual Patient Safety Assurance Certificate (PSAC).</w:t>
      </w:r>
    </w:p>
    <w:p w:rsidR="00EA5FD9" w:rsidRPr="00B459DC" w:rsidRDefault="00EA5FD9" w:rsidP="00EA5FD9">
      <w:pPr>
        <w:jc w:val="both"/>
        <w:rPr>
          <w:rFonts w:cs="Arial"/>
        </w:rPr>
      </w:pPr>
    </w:p>
    <w:p w:rsidR="00EA5FD9" w:rsidRPr="00B459DC" w:rsidRDefault="00EA5FD9" w:rsidP="00EA5FD9">
      <w:pPr>
        <w:jc w:val="both"/>
        <w:rPr>
          <w:rFonts w:cs="Arial"/>
          <w:b/>
        </w:rPr>
      </w:pPr>
      <w:r>
        <w:rPr>
          <w:rFonts w:cs="Arial"/>
          <w:b/>
        </w:rPr>
        <w:t>3</w:t>
      </w:r>
      <w:r w:rsidRPr="00B459DC">
        <w:rPr>
          <w:rFonts w:cs="Arial"/>
          <w:b/>
        </w:rPr>
        <w:t>. Health</w:t>
      </w:r>
    </w:p>
    <w:p w:rsidR="00EA5FD9" w:rsidRPr="00B459DC" w:rsidRDefault="00EA5FD9" w:rsidP="00EA5FD9">
      <w:pPr>
        <w:jc w:val="both"/>
        <w:rPr>
          <w:rFonts w:cs="Arial"/>
        </w:rPr>
      </w:pPr>
      <w:r w:rsidRPr="00B459DC">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EA5FD9" w:rsidRPr="00B459DC" w:rsidRDefault="00EA5FD9" w:rsidP="00EA5FD9">
      <w:pPr>
        <w:jc w:val="both"/>
        <w:rPr>
          <w:rFonts w:cs="Arial"/>
        </w:rPr>
      </w:pPr>
    </w:p>
    <w:p w:rsidR="00EA5FD9" w:rsidRPr="00B459DC" w:rsidRDefault="00EA5FD9" w:rsidP="00EA5FD9">
      <w:pPr>
        <w:jc w:val="both"/>
        <w:rPr>
          <w:rFonts w:cs="Arial"/>
          <w:b/>
        </w:rPr>
      </w:pPr>
      <w:r>
        <w:rPr>
          <w:rFonts w:cs="Arial"/>
          <w:b/>
        </w:rPr>
        <w:t>4</w:t>
      </w:r>
      <w:r w:rsidRPr="00B459DC">
        <w:rPr>
          <w:rFonts w:cs="Arial"/>
          <w:b/>
        </w:rPr>
        <w:t>. Character</w:t>
      </w:r>
    </w:p>
    <w:p w:rsidR="00EA5FD9" w:rsidRDefault="00EA5FD9" w:rsidP="00EA5FD9">
      <w:pPr>
        <w:ind w:right="-766"/>
        <w:jc w:val="both"/>
        <w:rPr>
          <w:rFonts w:cs="Arial"/>
        </w:rPr>
      </w:pPr>
      <w:r w:rsidRPr="00B459DC">
        <w:rPr>
          <w:rFonts w:cs="Arial"/>
        </w:rPr>
        <w:t>Candidates for and any person holding the office must be of good character.</w:t>
      </w:r>
    </w:p>
    <w:p w:rsidR="002F4BD5" w:rsidRPr="009E3561" w:rsidRDefault="002F4BD5" w:rsidP="002F4BD5">
      <w:pPr>
        <w:ind w:right="-766"/>
        <w:jc w:val="both"/>
        <w:rPr>
          <w:rFonts w:cs="Arial"/>
          <w:i/>
          <w:iCs/>
        </w:rPr>
      </w:pPr>
    </w:p>
    <w:p w:rsidR="00B019A0" w:rsidRDefault="00B019A0" w:rsidP="002F4BD5">
      <w:pPr>
        <w:jc w:val="both"/>
        <w:rPr>
          <w:rFonts w:cs="Arial"/>
          <w:b/>
        </w:rPr>
      </w:pPr>
    </w:p>
    <w:p w:rsidR="00860D52" w:rsidRPr="00860D52" w:rsidRDefault="00860D52" w:rsidP="002F4BD5">
      <w:pPr>
        <w:jc w:val="both"/>
        <w:rPr>
          <w:rFonts w:cs="Arial"/>
          <w:b/>
          <w:bCs/>
        </w:rPr>
      </w:pPr>
      <w:r w:rsidRPr="00860D52">
        <w:rPr>
          <w:rFonts w:cs="Arial"/>
          <w:b/>
          <w:bCs/>
        </w:rPr>
        <w:t>Post Specific Requirements</w:t>
      </w:r>
    </w:p>
    <w:p w:rsidR="00EA5FD9" w:rsidRPr="00B459DC" w:rsidRDefault="00EA5FD9" w:rsidP="00EA5FD9">
      <w:pPr>
        <w:rPr>
          <w:rFonts w:cs="Arial"/>
          <w:bCs/>
          <w:iCs/>
        </w:rPr>
      </w:pPr>
      <w:r w:rsidRPr="00B459DC">
        <w:rPr>
          <w:rFonts w:cs="Arial"/>
          <w:bCs/>
          <w:iCs/>
        </w:rPr>
        <w:t xml:space="preserve">Demonstrate depth and breadth of experience </w:t>
      </w:r>
      <w:r>
        <w:rPr>
          <w:rFonts w:cs="Arial"/>
          <w:bCs/>
          <w:iCs/>
        </w:rPr>
        <w:t>in</w:t>
      </w:r>
      <w:r w:rsidRPr="00B459DC">
        <w:rPr>
          <w:rFonts w:cs="Arial"/>
          <w:bCs/>
          <w:iCs/>
        </w:rPr>
        <w:t xml:space="preserve"> Emergency </w:t>
      </w:r>
      <w:r>
        <w:rPr>
          <w:rFonts w:cs="Arial"/>
          <w:bCs/>
          <w:iCs/>
        </w:rPr>
        <w:t>Medicine</w:t>
      </w:r>
      <w:r w:rsidRPr="00B459DC">
        <w:rPr>
          <w:rFonts w:cs="Arial"/>
          <w:bCs/>
          <w:iCs/>
        </w:rPr>
        <w:t xml:space="preserve"> </w:t>
      </w:r>
      <w:r>
        <w:rPr>
          <w:rFonts w:cs="Arial"/>
          <w:bCs/>
          <w:iCs/>
        </w:rPr>
        <w:t xml:space="preserve">Nursing </w:t>
      </w:r>
      <w:r w:rsidRPr="00B459DC">
        <w:rPr>
          <w:rFonts w:cs="Arial"/>
          <w:bCs/>
          <w:iCs/>
        </w:rPr>
        <w:t>as relevant to the role</w:t>
      </w:r>
    </w:p>
    <w:p w:rsidR="00216235" w:rsidRDefault="00216235" w:rsidP="002F4BD5">
      <w:pPr>
        <w:autoSpaceDE w:val="0"/>
        <w:autoSpaceDN w:val="0"/>
        <w:adjustRightInd w:val="0"/>
        <w:jc w:val="both"/>
        <w:rPr>
          <w:rFonts w:cs="Arial"/>
          <w:b/>
          <w:bCs/>
        </w:rPr>
      </w:pPr>
    </w:p>
    <w:p w:rsidR="00B17F6A" w:rsidRPr="004B7279" w:rsidRDefault="00B17F6A" w:rsidP="00B17F6A">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rsidR="00B17F6A" w:rsidRPr="004B7279" w:rsidRDefault="00B17F6A" w:rsidP="00B17F6A">
      <w:pPr>
        <w:autoSpaceDE w:val="0"/>
        <w:autoSpaceDN w:val="0"/>
        <w:adjustRightInd w:val="0"/>
        <w:rPr>
          <w:rFonts w:cs="Arial"/>
          <w:b/>
          <w:bCs/>
          <w:u w:val="single"/>
        </w:rPr>
      </w:pPr>
    </w:p>
    <w:p w:rsidR="00B17F6A" w:rsidRPr="00D63EEE" w:rsidRDefault="00B17F6A" w:rsidP="00B17F6A">
      <w:pPr>
        <w:pStyle w:val="ListParagraph"/>
        <w:numPr>
          <w:ilvl w:val="0"/>
          <w:numId w:val="7"/>
        </w:numPr>
        <w:tabs>
          <w:tab w:val="left" w:pos="0"/>
        </w:tabs>
        <w:autoSpaceDE w:val="0"/>
        <w:autoSpaceDN w:val="0"/>
        <w:adjustRightInd w:val="0"/>
        <w:jc w:val="both"/>
        <w:rPr>
          <w:rFonts w:ascii="Arial" w:hAnsi="Arial" w:cs="Arial"/>
        </w:rPr>
      </w:pPr>
      <w:r w:rsidRPr="00D63EEE">
        <w:rPr>
          <w:rFonts w:ascii="Arial" w:hAnsi="Arial" w:cs="Arial"/>
        </w:rPr>
        <w:t>If you are interested in pu</w:t>
      </w:r>
      <w:r>
        <w:rPr>
          <w:rFonts w:ascii="Arial" w:hAnsi="Arial" w:cs="Arial"/>
        </w:rPr>
        <w:t>rsuing a career as a</w:t>
      </w:r>
      <w:r w:rsidR="003D13A9">
        <w:rPr>
          <w:rFonts w:ascii="Arial" w:hAnsi="Arial" w:cs="Arial"/>
        </w:rPr>
        <w:t xml:space="preserve"> </w:t>
      </w:r>
      <w:r w:rsidR="002F4BD5">
        <w:rPr>
          <w:rFonts w:ascii="Arial" w:hAnsi="Arial" w:cs="Arial"/>
        </w:rPr>
        <w:t>Clinical Nurse Manager II (</w:t>
      </w:r>
      <w:r w:rsidR="008B00A0">
        <w:rPr>
          <w:rFonts w:ascii="Arial" w:hAnsi="Arial" w:cs="Arial"/>
        </w:rPr>
        <w:t>Patient Flow Co-ordinator / Bed Manager</w:t>
      </w:r>
      <w:r w:rsidR="002F4BD5">
        <w:rPr>
          <w:rFonts w:ascii="Arial" w:hAnsi="Arial" w:cs="Arial"/>
        </w:rPr>
        <w:t>)</w:t>
      </w:r>
      <w:r w:rsidRPr="00D63EEE">
        <w:rPr>
          <w:rFonts w:ascii="Arial" w:hAnsi="Arial" w:cs="Arial"/>
        </w:rPr>
        <w:t xml:space="preserve"> with the HSE, we recommend that you commence the registration process now.</w:t>
      </w:r>
    </w:p>
    <w:p w:rsidR="00B17F6A" w:rsidRPr="0015650A" w:rsidRDefault="00B17F6A" w:rsidP="00B17F6A">
      <w:pPr>
        <w:numPr>
          <w:ilvl w:val="0"/>
          <w:numId w:val="20"/>
        </w:numPr>
        <w:tabs>
          <w:tab w:val="left" w:pos="0"/>
        </w:tabs>
        <w:autoSpaceDE w:val="0"/>
        <w:autoSpaceDN w:val="0"/>
        <w:adjustRightInd w:val="0"/>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sidR="006B1C18">
        <w:rPr>
          <w:rFonts w:cs="Arial"/>
        </w:rPr>
        <w:t>HR</w:t>
      </w:r>
      <w:r w:rsidRPr="0015650A">
        <w:rPr>
          <w:rFonts w:cs="Arial"/>
        </w:rPr>
        <w:t xml:space="preserve"> that you are in receipt of your appropriate Nursing and Midwifery Board of Ireland registration.</w:t>
      </w:r>
    </w:p>
    <w:p w:rsidR="00B17F6A" w:rsidRPr="0015650A" w:rsidRDefault="00B17F6A" w:rsidP="00B17F6A">
      <w:pPr>
        <w:numPr>
          <w:ilvl w:val="0"/>
          <w:numId w:val="20"/>
        </w:numPr>
        <w:autoSpaceDE w:val="0"/>
        <w:autoSpaceDN w:val="0"/>
        <w:adjustRightInd w:val="0"/>
        <w:rPr>
          <w:rFonts w:cs="Arial"/>
          <w:b/>
          <w:bCs/>
        </w:rPr>
      </w:pPr>
      <w:r w:rsidRPr="0015650A">
        <w:rPr>
          <w:rFonts w:cs="Arial"/>
          <w:b/>
          <w:bCs/>
        </w:rPr>
        <w:t xml:space="preserve">Seeking registration is the responsibility of the candidate. </w:t>
      </w:r>
    </w:p>
    <w:p w:rsidR="00B17F6A" w:rsidRPr="0015650A" w:rsidRDefault="00B17F6A" w:rsidP="00B17F6A">
      <w:pPr>
        <w:numPr>
          <w:ilvl w:val="0"/>
          <w:numId w:val="20"/>
        </w:numPr>
        <w:autoSpaceDE w:val="0"/>
        <w:autoSpaceDN w:val="0"/>
        <w:adjustRightInd w:val="0"/>
        <w:rPr>
          <w:rFonts w:cs="Arial"/>
        </w:rPr>
      </w:pPr>
      <w:r w:rsidRPr="0015650A">
        <w:rPr>
          <w:rFonts w:cs="Arial"/>
        </w:rPr>
        <w:t>Please note registration can take a period of time.</w:t>
      </w:r>
    </w:p>
    <w:p w:rsidR="00B17F6A" w:rsidRPr="004B7279" w:rsidRDefault="00B17F6A" w:rsidP="00B17F6A">
      <w:pPr>
        <w:numPr>
          <w:ilvl w:val="0"/>
          <w:numId w:val="20"/>
        </w:numPr>
        <w:autoSpaceDE w:val="0"/>
        <w:autoSpaceDN w:val="0"/>
        <w:adjustRightInd w:val="0"/>
        <w:spacing w:line="240" w:lineRule="atLeast"/>
        <w:rPr>
          <w:rFonts w:cs="Arial"/>
          <w:iCs/>
          <w:lang w:val="en-US"/>
        </w:rPr>
      </w:pPr>
      <w:r w:rsidRPr="0015650A">
        <w:rPr>
          <w:rFonts w:cs="Arial"/>
        </w:rPr>
        <w:t xml:space="preserve">For further details on registration please see </w:t>
      </w:r>
      <w:hyperlink r:id="rId15" w:history="1">
        <w:r w:rsidRPr="0015650A">
          <w:rPr>
            <w:rFonts w:cs="Arial"/>
            <w:u w:val="single"/>
          </w:rPr>
          <w:t>www.nursingboard.ie</w:t>
        </w:r>
      </w:hyperlink>
      <w:r w:rsidRPr="004B7279">
        <w:rPr>
          <w:rFonts w:cs="Arial"/>
        </w:rPr>
        <w:t xml:space="preserve"> </w:t>
      </w:r>
    </w:p>
    <w:p w:rsidR="00B17F6A" w:rsidRPr="004B7279" w:rsidRDefault="00B17F6A" w:rsidP="00B17F6A">
      <w:pPr>
        <w:rPr>
          <w:rFonts w:cs="Arial"/>
        </w:rPr>
      </w:pPr>
    </w:p>
    <w:p w:rsidR="00B17F6A" w:rsidRDefault="00B17F6A" w:rsidP="00B17F6A">
      <w:pPr>
        <w:rPr>
          <w:rFonts w:cs="Arial"/>
          <w:bCs/>
        </w:rPr>
      </w:pPr>
      <w:r w:rsidRPr="004B7279">
        <w:rPr>
          <w:rFonts w:cs="Arial"/>
          <w:bCs/>
        </w:rPr>
        <w:t>* Dormant = you retain your place on the panel but you are not contacted about opportunities</w:t>
      </w:r>
      <w:r>
        <w:rPr>
          <w:rFonts w:cs="Arial"/>
          <w:bCs/>
        </w:rPr>
        <w:t>.</w:t>
      </w:r>
    </w:p>
    <w:p w:rsidR="00BF58DB" w:rsidRDefault="00BF58DB" w:rsidP="00D808E4">
      <w:pPr>
        <w:ind w:left="360"/>
        <w:rPr>
          <w:rFonts w:cs="Arial"/>
          <w:b/>
        </w:rPr>
      </w:pPr>
    </w:p>
    <w:p w:rsidR="00BF58DB" w:rsidRDefault="00BF58DB" w:rsidP="00D808E4">
      <w:pPr>
        <w:ind w:left="360"/>
        <w:rPr>
          <w:rFonts w:cs="Arial"/>
          <w:b/>
        </w:rPr>
      </w:pPr>
    </w:p>
    <w:p w:rsidR="00E578CE" w:rsidRDefault="00E578CE" w:rsidP="00D808E4">
      <w:pPr>
        <w:ind w:left="360"/>
        <w:rPr>
          <w:rFonts w:cs="Arial"/>
          <w:b/>
        </w:rPr>
      </w:pPr>
    </w:p>
    <w:p w:rsidR="00B019A0" w:rsidRDefault="00B019A0" w:rsidP="00D808E4">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BF58DB"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FC4063" w:rsidP="00305613">
      <w:pPr>
        <w:ind w:left="-360"/>
        <w:jc w:val="both"/>
        <w:rPr>
          <w:rFonts w:cs="Arial"/>
          <w:szCs w:val="22"/>
        </w:rPr>
      </w:pPr>
      <w:hyperlink r:id="rId17" w:history="1">
        <w:r w:rsidR="00305613" w:rsidRPr="0025178D">
          <w:rPr>
            <w:rStyle w:val="Hyperlink"/>
            <w:rFonts w:cs="Arial"/>
            <w:szCs w:val="22"/>
          </w:rPr>
          <w:t>http://content.met.police.uk/Site/infomationaboutyourself</w:t>
        </w:r>
      </w:hyperlink>
    </w:p>
    <w:p w:rsidR="00305613" w:rsidRDefault="00FC4063" w:rsidP="00305613">
      <w:pPr>
        <w:ind w:left="-360"/>
        <w:jc w:val="both"/>
        <w:rPr>
          <w:rFonts w:cs="Arial"/>
          <w:szCs w:val="22"/>
        </w:rPr>
      </w:pPr>
      <w:hyperlink r:id="rId18" w:history="1">
        <w:r w:rsidR="00305613" w:rsidRPr="00125A1C">
          <w:rPr>
            <w:rStyle w:val="Hyperlink"/>
            <w:rFonts w:ascii="Helv" w:hAnsi="Helv" w:cs="Helv"/>
            <w:lang w:val="en-GB" w:eastAsia="en-GB"/>
          </w:rPr>
          <w:t>Metropolitan Police Service - Your right to information</w:t>
        </w:r>
      </w:hyperlink>
    </w:p>
    <w:p w:rsidR="00305613" w:rsidRDefault="00FC4063" w:rsidP="00305613">
      <w:pPr>
        <w:ind w:left="-360"/>
        <w:jc w:val="both"/>
        <w:rPr>
          <w:rFonts w:cs="Arial"/>
          <w:szCs w:val="22"/>
        </w:rPr>
      </w:pPr>
      <w:hyperlink r:id="rId19" w:history="1">
        <w:r w:rsidR="00305613" w:rsidRPr="004D7DB9">
          <w:rPr>
            <w:rStyle w:val="Hyperlink"/>
            <w:rFonts w:cs="Arial"/>
            <w:szCs w:val="22"/>
          </w:rPr>
          <w:t>www.disclosurescotland.co.uk</w:t>
        </w:r>
      </w:hyperlink>
    </w:p>
    <w:p w:rsidR="00305613" w:rsidRPr="004D7DB9" w:rsidRDefault="00FC4063" w:rsidP="00305613">
      <w:pPr>
        <w:ind w:left="-360"/>
        <w:jc w:val="both"/>
        <w:rPr>
          <w:rFonts w:cs="Arial"/>
          <w:szCs w:val="22"/>
        </w:rPr>
      </w:pPr>
      <w:hyperlink r:id="rId20" w:history="1">
        <w:r w:rsidR="00305613" w:rsidRPr="0025178D">
          <w:rPr>
            <w:rStyle w:val="Hyperlink"/>
            <w:rFonts w:cs="Arial"/>
            <w:szCs w:val="22"/>
          </w:rPr>
          <w:t>http://www.south-wales.police.uk/more-about-us/your-right-to-information/data-protection/</w:t>
        </w:r>
      </w:hyperlink>
    </w:p>
    <w:p w:rsidR="00305613" w:rsidRPr="004D7DB9" w:rsidRDefault="00FC4063" w:rsidP="00305613">
      <w:pPr>
        <w:ind w:left="-360"/>
        <w:jc w:val="both"/>
        <w:rPr>
          <w:rFonts w:cs="Arial"/>
          <w:szCs w:val="22"/>
        </w:rPr>
      </w:pPr>
      <w:hyperlink r:id="rId21"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FC4063" w:rsidP="00305613">
      <w:pPr>
        <w:ind w:left="-360"/>
        <w:jc w:val="both"/>
        <w:rPr>
          <w:rFonts w:cs="Arial"/>
          <w:szCs w:val="22"/>
        </w:rPr>
      </w:pPr>
      <w:hyperlink r:id="rId23"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FC4063" w:rsidP="00305613">
      <w:pPr>
        <w:ind w:left="-360"/>
        <w:jc w:val="both"/>
        <w:rPr>
          <w:rFonts w:cs="Arial"/>
          <w:szCs w:val="22"/>
        </w:rPr>
      </w:pPr>
      <w:hyperlink r:id="rId24"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FC4063" w:rsidP="00305613">
      <w:pPr>
        <w:ind w:left="-360"/>
        <w:jc w:val="both"/>
        <w:rPr>
          <w:rFonts w:cs="Arial"/>
          <w:szCs w:val="22"/>
        </w:rPr>
      </w:pPr>
      <w:hyperlink r:id="rId25"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Pr="009929F3" w:rsidRDefault="00305613" w:rsidP="009929F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sidR="00FC4063">
      <w:rPr>
        <w:rFonts w:ascii="Arial" w:hAnsi="Arial" w:cs="Arial"/>
        <w:i/>
        <w:noProof/>
        <w:sz w:val="20"/>
      </w:rPr>
      <w:t>7</w:t>
    </w:r>
    <w:r w:rsidR="00E64B1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Pr>
        <w:rFonts w:ascii="Arial" w:hAnsi="Arial" w:cs="Arial"/>
        <w:i/>
        <w:noProof/>
        <w:sz w:val="20"/>
      </w:rPr>
      <w:t>1</w:t>
    </w:r>
    <w:r w:rsidR="00E64B1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75378C"/>
    <w:multiLevelType w:val="hybridMultilevel"/>
    <w:tmpl w:val="4B86E9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752EDE"/>
    <w:multiLevelType w:val="hybridMultilevel"/>
    <w:tmpl w:val="D4BA7DBC"/>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BEF39F2"/>
    <w:multiLevelType w:val="hybridMultilevel"/>
    <w:tmpl w:val="92AC40D0"/>
    <w:lvl w:ilvl="0" w:tplc="F9944594">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rPr>
        <w:rFonts w:cs="Times New Roman"/>
      </w:rPr>
    </w:lvl>
    <w:lvl w:ilvl="2" w:tplc="1809001B" w:tentative="1">
      <w:start w:val="1"/>
      <w:numFmt w:val="lowerRoman"/>
      <w:lvlText w:val="%3."/>
      <w:lvlJc w:val="right"/>
      <w:pPr>
        <w:ind w:left="3938" w:hanging="180"/>
      </w:pPr>
      <w:rPr>
        <w:rFonts w:cs="Times New Roman"/>
      </w:rPr>
    </w:lvl>
    <w:lvl w:ilvl="3" w:tplc="1809000F" w:tentative="1">
      <w:start w:val="1"/>
      <w:numFmt w:val="decimal"/>
      <w:lvlText w:val="%4."/>
      <w:lvlJc w:val="left"/>
      <w:pPr>
        <w:ind w:left="4658" w:hanging="360"/>
      </w:pPr>
      <w:rPr>
        <w:rFonts w:cs="Times New Roman"/>
      </w:rPr>
    </w:lvl>
    <w:lvl w:ilvl="4" w:tplc="18090019" w:tentative="1">
      <w:start w:val="1"/>
      <w:numFmt w:val="lowerLetter"/>
      <w:lvlText w:val="%5."/>
      <w:lvlJc w:val="left"/>
      <w:pPr>
        <w:ind w:left="5378" w:hanging="360"/>
      </w:pPr>
      <w:rPr>
        <w:rFonts w:cs="Times New Roman"/>
      </w:rPr>
    </w:lvl>
    <w:lvl w:ilvl="5" w:tplc="1809001B" w:tentative="1">
      <w:start w:val="1"/>
      <w:numFmt w:val="lowerRoman"/>
      <w:lvlText w:val="%6."/>
      <w:lvlJc w:val="right"/>
      <w:pPr>
        <w:ind w:left="6098" w:hanging="180"/>
      </w:pPr>
      <w:rPr>
        <w:rFonts w:cs="Times New Roman"/>
      </w:rPr>
    </w:lvl>
    <w:lvl w:ilvl="6" w:tplc="1809000F" w:tentative="1">
      <w:start w:val="1"/>
      <w:numFmt w:val="decimal"/>
      <w:lvlText w:val="%7."/>
      <w:lvlJc w:val="left"/>
      <w:pPr>
        <w:ind w:left="6818" w:hanging="360"/>
      </w:pPr>
      <w:rPr>
        <w:rFonts w:cs="Times New Roman"/>
      </w:rPr>
    </w:lvl>
    <w:lvl w:ilvl="7" w:tplc="18090019" w:tentative="1">
      <w:start w:val="1"/>
      <w:numFmt w:val="lowerLetter"/>
      <w:lvlText w:val="%8."/>
      <w:lvlJc w:val="left"/>
      <w:pPr>
        <w:ind w:left="7538" w:hanging="360"/>
      </w:pPr>
      <w:rPr>
        <w:rFonts w:cs="Times New Roman"/>
      </w:rPr>
    </w:lvl>
    <w:lvl w:ilvl="8" w:tplc="1809001B" w:tentative="1">
      <w:start w:val="1"/>
      <w:numFmt w:val="lowerRoman"/>
      <w:lvlText w:val="%9."/>
      <w:lvlJc w:val="right"/>
      <w:pPr>
        <w:ind w:left="8258" w:hanging="180"/>
      </w:pPr>
      <w:rPr>
        <w:rFonts w:cs="Times New Roman"/>
      </w:rPr>
    </w:lvl>
  </w:abstractNum>
  <w:abstractNum w:abstractNumId="20"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2"/>
  </w:num>
  <w:num w:numId="2">
    <w:abstractNumId w:val="18"/>
  </w:num>
  <w:num w:numId="3">
    <w:abstractNumId w:val="23"/>
  </w:num>
  <w:num w:numId="4">
    <w:abstractNumId w:val="8"/>
  </w:num>
  <w:num w:numId="5">
    <w:abstractNumId w:val="3"/>
  </w:num>
  <w:num w:numId="6">
    <w:abstractNumId w:val="22"/>
  </w:num>
  <w:num w:numId="7">
    <w:abstractNumId w:val="24"/>
  </w:num>
  <w:num w:numId="8">
    <w:abstractNumId w:val="11"/>
  </w:num>
  <w:num w:numId="9">
    <w:abstractNumId w:val="7"/>
  </w:num>
  <w:num w:numId="10">
    <w:abstractNumId w:val="25"/>
  </w:num>
  <w:num w:numId="11">
    <w:abstractNumId w:val="21"/>
  </w:num>
  <w:num w:numId="12">
    <w:abstractNumId w:val="16"/>
  </w:num>
  <w:num w:numId="13">
    <w:abstractNumId w:val="20"/>
  </w:num>
  <w:num w:numId="14">
    <w:abstractNumId w:val="5"/>
  </w:num>
  <w:num w:numId="15">
    <w:abstractNumId w:val="12"/>
  </w:num>
  <w:num w:numId="16">
    <w:abstractNumId w:val="4"/>
  </w:num>
  <w:num w:numId="17">
    <w:abstractNumId w:val="27"/>
  </w:num>
  <w:num w:numId="18">
    <w:abstractNumId w:val="6"/>
  </w:num>
  <w:num w:numId="19">
    <w:abstractNumId w:val="9"/>
  </w:num>
  <w:num w:numId="20">
    <w:abstractNumId w:val="17"/>
  </w:num>
  <w:num w:numId="21">
    <w:abstractNumId w:val="1"/>
  </w:num>
  <w:num w:numId="22">
    <w:abstractNumId w:val="13"/>
  </w:num>
  <w:num w:numId="23">
    <w:abstractNumId w:val="15"/>
  </w:num>
  <w:num w:numId="24">
    <w:abstractNumId w:val="19"/>
  </w:num>
  <w:num w:numId="25">
    <w:abstractNumId w:val="10"/>
  </w:num>
  <w:num w:numId="26">
    <w:abstractNumId w:val="0"/>
  </w:num>
  <w:num w:numId="27">
    <w:abstractNumId w:val="14"/>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0E6C"/>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7702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49B9"/>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1F7C99"/>
    <w:rsid w:val="00216235"/>
    <w:rsid w:val="00217452"/>
    <w:rsid w:val="00227C3D"/>
    <w:rsid w:val="0024216E"/>
    <w:rsid w:val="0025108D"/>
    <w:rsid w:val="00255283"/>
    <w:rsid w:val="0026429D"/>
    <w:rsid w:val="002769AE"/>
    <w:rsid w:val="002805AA"/>
    <w:rsid w:val="00285FB9"/>
    <w:rsid w:val="00290577"/>
    <w:rsid w:val="00291575"/>
    <w:rsid w:val="00291ECB"/>
    <w:rsid w:val="00296D03"/>
    <w:rsid w:val="002A141E"/>
    <w:rsid w:val="002A254F"/>
    <w:rsid w:val="002A7753"/>
    <w:rsid w:val="002D3323"/>
    <w:rsid w:val="002D74ED"/>
    <w:rsid w:val="002E022C"/>
    <w:rsid w:val="002E1909"/>
    <w:rsid w:val="002E31A3"/>
    <w:rsid w:val="002F4BD5"/>
    <w:rsid w:val="00302567"/>
    <w:rsid w:val="00302C46"/>
    <w:rsid w:val="003041B8"/>
    <w:rsid w:val="00305613"/>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3035"/>
    <w:rsid w:val="003A32EA"/>
    <w:rsid w:val="003B5DD0"/>
    <w:rsid w:val="003D13A9"/>
    <w:rsid w:val="003D19FA"/>
    <w:rsid w:val="003D3BC4"/>
    <w:rsid w:val="003D5B50"/>
    <w:rsid w:val="003D7284"/>
    <w:rsid w:val="003E1D98"/>
    <w:rsid w:val="003E53FC"/>
    <w:rsid w:val="003F5197"/>
    <w:rsid w:val="00400EA6"/>
    <w:rsid w:val="004073A1"/>
    <w:rsid w:val="00427434"/>
    <w:rsid w:val="00433275"/>
    <w:rsid w:val="00445012"/>
    <w:rsid w:val="00451BEC"/>
    <w:rsid w:val="00462A0A"/>
    <w:rsid w:val="0047429C"/>
    <w:rsid w:val="00476F64"/>
    <w:rsid w:val="0048138C"/>
    <w:rsid w:val="00485D9C"/>
    <w:rsid w:val="004A431B"/>
    <w:rsid w:val="004A6C15"/>
    <w:rsid w:val="004C189E"/>
    <w:rsid w:val="004D4066"/>
    <w:rsid w:val="004D5B7D"/>
    <w:rsid w:val="004D797D"/>
    <w:rsid w:val="004D7BF1"/>
    <w:rsid w:val="004E5E4B"/>
    <w:rsid w:val="004E7D31"/>
    <w:rsid w:val="004F6076"/>
    <w:rsid w:val="004F7411"/>
    <w:rsid w:val="00500816"/>
    <w:rsid w:val="00503691"/>
    <w:rsid w:val="0051198F"/>
    <w:rsid w:val="00523F77"/>
    <w:rsid w:val="00525A77"/>
    <w:rsid w:val="005360D7"/>
    <w:rsid w:val="00536EF5"/>
    <w:rsid w:val="0054150E"/>
    <w:rsid w:val="00546ACC"/>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1C18"/>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0D52"/>
    <w:rsid w:val="008635B7"/>
    <w:rsid w:val="00865194"/>
    <w:rsid w:val="0086589F"/>
    <w:rsid w:val="008673C1"/>
    <w:rsid w:val="00871A13"/>
    <w:rsid w:val="00873FE2"/>
    <w:rsid w:val="008820FE"/>
    <w:rsid w:val="00892F84"/>
    <w:rsid w:val="008960E3"/>
    <w:rsid w:val="008A0DCC"/>
    <w:rsid w:val="008B00A0"/>
    <w:rsid w:val="008B1B3E"/>
    <w:rsid w:val="008B5901"/>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321CC"/>
    <w:rsid w:val="00942A32"/>
    <w:rsid w:val="00947CA3"/>
    <w:rsid w:val="00951BB5"/>
    <w:rsid w:val="009640CA"/>
    <w:rsid w:val="00986710"/>
    <w:rsid w:val="009929F3"/>
    <w:rsid w:val="009A21BA"/>
    <w:rsid w:val="009A2740"/>
    <w:rsid w:val="009A31B3"/>
    <w:rsid w:val="009B0647"/>
    <w:rsid w:val="009C09E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44853"/>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1246"/>
    <w:rsid w:val="00B019A0"/>
    <w:rsid w:val="00B031D3"/>
    <w:rsid w:val="00B054CA"/>
    <w:rsid w:val="00B06C3C"/>
    <w:rsid w:val="00B11139"/>
    <w:rsid w:val="00B1304B"/>
    <w:rsid w:val="00B14C1C"/>
    <w:rsid w:val="00B14C43"/>
    <w:rsid w:val="00B15DEA"/>
    <w:rsid w:val="00B17F6A"/>
    <w:rsid w:val="00B20054"/>
    <w:rsid w:val="00B24B05"/>
    <w:rsid w:val="00B27705"/>
    <w:rsid w:val="00B27C86"/>
    <w:rsid w:val="00B4413B"/>
    <w:rsid w:val="00B467DE"/>
    <w:rsid w:val="00B623FC"/>
    <w:rsid w:val="00B80353"/>
    <w:rsid w:val="00B80B02"/>
    <w:rsid w:val="00B81DF7"/>
    <w:rsid w:val="00B92FC6"/>
    <w:rsid w:val="00B93C6D"/>
    <w:rsid w:val="00B9566E"/>
    <w:rsid w:val="00BA17F9"/>
    <w:rsid w:val="00BA2267"/>
    <w:rsid w:val="00BA4AB3"/>
    <w:rsid w:val="00BA50EB"/>
    <w:rsid w:val="00BC4E29"/>
    <w:rsid w:val="00BE366C"/>
    <w:rsid w:val="00BF58DB"/>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2175C"/>
    <w:rsid w:val="00D22614"/>
    <w:rsid w:val="00D2290C"/>
    <w:rsid w:val="00D2659A"/>
    <w:rsid w:val="00D34003"/>
    <w:rsid w:val="00D47901"/>
    <w:rsid w:val="00D47A6F"/>
    <w:rsid w:val="00D50D46"/>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F21CC"/>
    <w:rsid w:val="00DF7CB8"/>
    <w:rsid w:val="00E15822"/>
    <w:rsid w:val="00E17571"/>
    <w:rsid w:val="00E21DCB"/>
    <w:rsid w:val="00E276F0"/>
    <w:rsid w:val="00E3260E"/>
    <w:rsid w:val="00E32BAD"/>
    <w:rsid w:val="00E34C62"/>
    <w:rsid w:val="00E363F3"/>
    <w:rsid w:val="00E530DF"/>
    <w:rsid w:val="00E578CE"/>
    <w:rsid w:val="00E64232"/>
    <w:rsid w:val="00E64B14"/>
    <w:rsid w:val="00E70940"/>
    <w:rsid w:val="00E714DF"/>
    <w:rsid w:val="00E72FCB"/>
    <w:rsid w:val="00EA5FD9"/>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528B"/>
    <w:rsid w:val="00F961D5"/>
    <w:rsid w:val="00FC0EE4"/>
    <w:rsid w:val="00FC4063"/>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88065"/>
    <o:shapelayout v:ext="edit">
      <o:idmap v:ext="edit" data="1"/>
    </o:shapelayout>
  </w:shapeDefaults>
  <w:decimalSymbol w:val="."/>
  <w:listSeparator w:val=","/>
  <w14:docId w14:val="6CF40D21"/>
  <w15:docId w15:val="{1ADCB0C7-2861-4E3F-84D4-85E6ACB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4154/"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cid:image001.jpg@01DB305A.6B3AFF20" TargetMode="External"/><Relationship Id="rId14" Type="http://schemas.openxmlformats.org/officeDocument/2006/relationships/hyperlink" Target="https://www.hse.ie/eng/gdpr"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BEFA4-C4E9-445F-963F-6CB71098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3623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24114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Amanda Devins</cp:lastModifiedBy>
  <cp:revision>3</cp:revision>
  <cp:lastPrinted>2024-12-18T12:24:00Z</cp:lastPrinted>
  <dcterms:created xsi:type="dcterms:W3CDTF">2025-01-06T16:54:00Z</dcterms:created>
  <dcterms:modified xsi:type="dcterms:W3CDTF">2025-01-06T16:58:00Z</dcterms:modified>
</cp:coreProperties>
</file>