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49002EE8" w14:textId="77777777" w:rsidR="00A913D7" w:rsidRPr="00B07575" w:rsidRDefault="006F0040" w:rsidP="00A913D7">
      <w:pPr>
        <w:rPr>
          <w:rFonts w:cs="Arial"/>
        </w:rPr>
      </w:pPr>
      <w:r w:rsidRPr="00AD732D">
        <w:rPr>
          <w:rFonts w:eastAsia="Times New Roman" w:cs="Arial"/>
          <w:b/>
          <w:iCs/>
          <w:sz w:val="24"/>
          <w:szCs w:val="24"/>
          <w:lang w:eastAsia="en-IE"/>
        </w:rPr>
        <w:t xml:space="preserve">Recruitment reference no: </w:t>
      </w:r>
      <w:r w:rsidR="00A913D7" w:rsidRPr="00A913D7">
        <w:rPr>
          <w:rFonts w:cs="Arial"/>
        </w:rPr>
        <w:t>G10743</w:t>
      </w:r>
      <w:r w:rsidRPr="00A913D7">
        <w:rPr>
          <w:rFonts w:cs="Arial"/>
        </w:rPr>
        <w:t>,</w:t>
      </w:r>
      <w:r w:rsidRPr="00B746D9">
        <w:rPr>
          <w:rFonts w:eastAsia="Times New Roman" w:cs="Arial"/>
          <w:b/>
          <w:iCs/>
          <w:color w:val="000099"/>
          <w:sz w:val="24"/>
          <w:szCs w:val="24"/>
          <w:lang w:eastAsia="en-IE"/>
        </w:rPr>
        <w:t xml:space="preserve"> </w:t>
      </w:r>
      <w:r w:rsidR="00A913D7" w:rsidRPr="00B07575">
        <w:rPr>
          <w:rFonts w:cs="Arial"/>
        </w:rPr>
        <w:t xml:space="preserve">Advanced Nurse Practitioner, candidate - </w:t>
      </w:r>
      <w:proofErr w:type="spellStart"/>
      <w:r w:rsidR="00A913D7" w:rsidRPr="00B07575">
        <w:rPr>
          <w:rFonts w:cs="Arial"/>
        </w:rPr>
        <w:t>Ard-Altra</w:t>
      </w:r>
      <w:proofErr w:type="spellEnd"/>
      <w:r w:rsidR="00A913D7" w:rsidRPr="00B07575">
        <w:rPr>
          <w:rFonts w:cs="Arial"/>
        </w:rPr>
        <w:t xml:space="preserve"> </w:t>
      </w:r>
      <w:proofErr w:type="spellStart"/>
      <w:r w:rsidR="00A913D7" w:rsidRPr="00B07575">
        <w:rPr>
          <w:rFonts w:cs="Arial"/>
        </w:rPr>
        <w:t>Liachleachta</w:t>
      </w:r>
      <w:proofErr w:type="spellEnd"/>
      <w:r w:rsidR="00A913D7" w:rsidRPr="00B07575">
        <w:rPr>
          <w:rFonts w:cs="Arial"/>
        </w:rPr>
        <w:t xml:space="preserve">, </w:t>
      </w:r>
      <w:proofErr w:type="spellStart"/>
      <w:r w:rsidR="00A913D7" w:rsidRPr="00B07575">
        <w:rPr>
          <w:rFonts w:cs="Arial"/>
        </w:rPr>
        <w:t>Iarrthóir</w:t>
      </w:r>
      <w:proofErr w:type="spellEnd"/>
      <w:r w:rsidR="00A913D7" w:rsidRPr="00B07575">
        <w:rPr>
          <w:rFonts w:cs="Arial"/>
        </w:rPr>
        <w:t xml:space="preserve"> - (cANP) Acute Haematology Oncology Service (AHOS)</w:t>
      </w:r>
    </w:p>
    <w:p w14:paraId="754B7AC9" w14:textId="2E172556" w:rsidR="006F0040" w:rsidRPr="00B746D9" w:rsidRDefault="006F0040" w:rsidP="006F0040">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6BB259D8" w14:textId="20BD4260" w:rsidR="006F0040" w:rsidRPr="00A913D7" w:rsidRDefault="00A913D7" w:rsidP="00A913D7">
      <w:pPr>
        <w:jc w:val="center"/>
        <w:rPr>
          <w:rFonts w:cs="Arial"/>
          <w:b/>
        </w:rPr>
      </w:pPr>
      <w:r w:rsidRPr="00A913D7">
        <w:rPr>
          <w:rFonts w:cs="Arial"/>
          <w:b/>
        </w:rPr>
        <w:t>Acute Haematology Oncology Service, Galway University Hospitals</w:t>
      </w:r>
    </w:p>
    <w:p w14:paraId="342D91CE" w14:textId="4726B15E"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006D0E0A" w:rsidRPr="00D849D8">
        <w:rPr>
          <w:rFonts w:cs="Arial"/>
          <w:iCs/>
        </w:rPr>
        <w:t xml:space="preserve">A panel may be formed for Candidate Advanced Nurse Practitioner, </w:t>
      </w:r>
      <w:r w:rsidR="006D0E0A" w:rsidRPr="006D0E0A">
        <w:rPr>
          <w:rFonts w:cs="Arial"/>
        </w:rPr>
        <w:t>Acute Haematology Oncology Service (AHOS)</w:t>
      </w:r>
      <w:r w:rsidR="006D0E0A">
        <w:rPr>
          <w:rFonts w:cs="Arial"/>
          <w:b/>
        </w:rPr>
        <w:t xml:space="preserve"> </w:t>
      </w:r>
      <w:r w:rsidR="006D0E0A" w:rsidRPr="00D849D8">
        <w:rPr>
          <w:rFonts w:cs="Arial"/>
          <w:iCs/>
        </w:rPr>
        <w:t>Galway University Hospitals from which current and future permanent and specified purpose vacancies of full time or p</w:t>
      </w:r>
      <w:bookmarkStart w:id="0" w:name="_GoBack"/>
      <w:bookmarkEnd w:id="0"/>
      <w:r w:rsidR="006D0E0A" w:rsidRPr="00D849D8">
        <w:rPr>
          <w:rFonts w:cs="Arial"/>
          <w:iCs/>
        </w:rPr>
        <w:t>art time duration may be filled</w:t>
      </w:r>
      <w:r w:rsidR="006D0E0A">
        <w:rPr>
          <w:rFonts w:cs="Arial"/>
          <w:iCs/>
        </w:rPr>
        <w:t>.</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BD594D2"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0" w:history="1">
        <w:r w:rsidR="006D0E0A" w:rsidRPr="00D05A3F">
          <w:rPr>
            <w:rStyle w:val="Hyperlink"/>
            <w:rFonts w:ascii="Arial" w:eastAsia="Times New Roman" w:hAnsi="Arial" w:cs="Arial"/>
            <w:sz w:val="20"/>
            <w:szCs w:val="20"/>
          </w:rPr>
          <w:t>Adeniyi.adeolokun@hse.ie</w:t>
        </w:r>
      </w:hyperlink>
      <w:r w:rsidR="006D0E0A">
        <w:rPr>
          <w:rFonts w:ascii="Arial" w:eastAsia="Times New Roman" w:hAnsi="Arial" w:cs="Arial"/>
          <w:color w:val="000099"/>
          <w:sz w:val="20"/>
          <w:szCs w:val="20"/>
        </w:rPr>
        <w:t xml:space="preserve"> </w:t>
      </w:r>
      <w:r w:rsidR="006D0E0A" w:rsidRPr="006D0E0A">
        <w:rPr>
          <w:rFonts w:ascii="Arial" w:eastAsia="Times New Roman" w:hAnsi="Arial" w:cs="Arial"/>
          <w:sz w:val="20"/>
          <w:szCs w:val="20"/>
        </w:rPr>
        <w:t>or Phone 091 542748</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p w14:paraId="11896D6E" w14:textId="77777777" w:rsidR="006F0040" w:rsidRPr="00745CEC" w:rsidRDefault="006F0040" w:rsidP="006F0040">
      <w:pPr>
        <w:pStyle w:val="ListParagraph"/>
        <w:spacing w:before="240" w:after="120" w:line="240" w:lineRule="auto"/>
        <w:ind w:left="0"/>
        <w:rPr>
          <w:rFonts w:cs="Arial"/>
          <w:szCs w:val="20"/>
        </w:rPr>
      </w:pPr>
      <w:r w:rsidRPr="00AD732D">
        <w:rPr>
          <w:rFonts w:cs="Arial"/>
          <w:bCs/>
          <w:color w:val="000099"/>
          <w:kern w:val="32"/>
          <w:szCs w:val="20"/>
        </w:rPr>
        <w:t>Remember to update this contents table once the document is finalised.</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297E56"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38C794D0" w14:textId="77777777" w:rsidR="006F0040" w:rsidRDefault="00297E56" w:rsidP="006F0040">
          <w:pPr>
            <w:pStyle w:val="TOC1"/>
            <w:rPr>
              <w:rFonts w:asciiTheme="minorHAnsi" w:eastAsiaTheme="minorEastAsia" w:hAnsiTheme="minorHAnsi"/>
              <w:noProof/>
              <w:sz w:val="22"/>
              <w:lang w:eastAsia="en-IE"/>
            </w:rPr>
          </w:pPr>
          <w:hyperlink w:anchor="_Toc188374526" w:history="1">
            <w:r w:rsidR="006F0040" w:rsidRPr="002E056A">
              <w:rPr>
                <w:rStyle w:val="Hyperlink"/>
                <w:rFonts w:cs="Arial"/>
                <w:noProof/>
              </w:rPr>
              <w:t>Candidates on existing panels</w:t>
            </w:r>
            <w:r w:rsidR="006F0040">
              <w:rPr>
                <w:noProof/>
                <w:webHidden/>
              </w:rPr>
              <w:tab/>
            </w:r>
            <w:r w:rsidR="006F0040">
              <w:rPr>
                <w:noProof/>
                <w:webHidden/>
              </w:rPr>
              <w:fldChar w:fldCharType="begin"/>
            </w:r>
            <w:r w:rsidR="006F0040">
              <w:rPr>
                <w:noProof/>
                <w:webHidden/>
              </w:rPr>
              <w:instrText xml:space="preserve"> PAGEREF _Toc188374526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297E56"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297E56"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297E56"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297E56"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297E56"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297E56"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297E56"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297E56"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297E56"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297E56"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297E56"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297E56"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297E56"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297E56"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297E56"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297E56"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297E56"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297E56"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297E56"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297E56"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36D9F82"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w:t>
      </w:r>
      <w:r w:rsidR="00140848">
        <w:rPr>
          <w:rFonts w:eastAsia="Times New Roman" w:cs="Arial"/>
          <w:szCs w:val="20"/>
          <w:lang w:val="en-GB"/>
        </w:rPr>
        <w:t xml:space="preserve"> closing date – Monday 25</w:t>
      </w:r>
      <w:r w:rsidR="00140848" w:rsidRPr="00140848">
        <w:rPr>
          <w:rFonts w:eastAsia="Times New Roman" w:cs="Arial"/>
          <w:szCs w:val="20"/>
          <w:vertAlign w:val="superscript"/>
          <w:lang w:val="en-GB"/>
        </w:rPr>
        <w:t>th</w:t>
      </w:r>
      <w:r w:rsidR="00140848">
        <w:rPr>
          <w:rFonts w:eastAsia="Times New Roman" w:cs="Arial"/>
          <w:szCs w:val="20"/>
          <w:lang w:val="en-GB"/>
        </w:rPr>
        <w:t xml:space="preserve"> August 2025</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188374527"/>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Pr="00297E56" w:rsidRDefault="006F0040" w:rsidP="006F0040">
      <w:pPr>
        <w:numPr>
          <w:ilvl w:val="0"/>
          <w:numId w:val="7"/>
        </w:numPr>
        <w:spacing w:before="240" w:after="0" w:line="240" w:lineRule="auto"/>
        <w:ind w:left="357" w:hanging="357"/>
        <w:rPr>
          <w:rFonts w:cs="Arial"/>
          <w:szCs w:val="20"/>
        </w:rPr>
      </w:pPr>
      <w:r w:rsidRPr="00297E56">
        <w:rPr>
          <w:rFonts w:cs="Arial"/>
          <w:szCs w:val="20"/>
        </w:rPr>
        <w:t xml:space="preserve">Applicants invited to interview will receive more details at that stage.  </w:t>
      </w:r>
    </w:p>
    <w:p w14:paraId="208327D5" w14:textId="3FA4F9D2" w:rsidR="006F0040" w:rsidRPr="00297E56" w:rsidRDefault="006F0040" w:rsidP="3CD97C2E">
      <w:pPr>
        <w:numPr>
          <w:ilvl w:val="0"/>
          <w:numId w:val="7"/>
        </w:numPr>
        <w:spacing w:before="240" w:after="0" w:line="240" w:lineRule="auto"/>
        <w:ind w:left="357" w:hanging="357"/>
        <w:rPr>
          <w:rFonts w:cs="Arial"/>
          <w:szCs w:val="20"/>
        </w:rPr>
      </w:pPr>
      <w:r w:rsidRPr="00297E56">
        <w:rPr>
          <w:rFonts w:cs="Arial"/>
          <w:szCs w:val="20"/>
        </w:rPr>
        <w:t>Proposed interview dates will be</w:t>
      </w:r>
      <w:r w:rsidR="73CDA80B" w:rsidRPr="00297E56">
        <w:rPr>
          <w:rFonts w:cs="Arial"/>
          <w:szCs w:val="20"/>
        </w:rPr>
        <w:t xml:space="preserve"> </w:t>
      </w:r>
      <w:r w:rsidRPr="00297E56">
        <w:rPr>
          <w:rFonts w:cs="Arial"/>
          <w:szCs w:val="20"/>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00297E56">
        <w:rPr>
          <w:rFonts w:cs="Arial"/>
          <w:szCs w:val="20"/>
        </w:rPr>
        <w:t>We will place applicants, successful at the interview stage, on a panel in</w:t>
      </w:r>
      <w:r w:rsidRPr="3CD97C2E">
        <w:rPr>
          <w:rFonts w:eastAsia="Times New Roman" w:cs="Arial"/>
          <w:lang w:eastAsia="en-IE"/>
        </w:rPr>
        <w:t xml:space="preserve">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188374528"/>
      <w:r w:rsidRPr="002E719E">
        <w:rPr>
          <w:rFonts w:cs="Arial"/>
          <w:szCs w:val="20"/>
        </w:rPr>
        <w:lastRenderedPageBreak/>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297E56"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297E56"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297E56"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188374529"/>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188374533"/>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188374534"/>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lastRenderedPageBreak/>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188374538"/>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188374539"/>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lastRenderedPageBreak/>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188374542"/>
      <w:bookmarkEnd w:id="17"/>
      <w:r w:rsidRPr="00BD636C">
        <w:t>Appendix 1: Eligibility Criteria</w:t>
      </w:r>
      <w:bookmarkEnd w:id="18"/>
    </w:p>
    <w:p w14:paraId="3CDFB1D3" w14:textId="745040FE"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46F60F0B" w14:textId="77777777" w:rsidR="00140848" w:rsidRPr="004A305F" w:rsidRDefault="00140848" w:rsidP="00140848">
      <w:pPr>
        <w:pStyle w:val="Default"/>
        <w:rPr>
          <w:sz w:val="20"/>
          <w:szCs w:val="20"/>
        </w:rPr>
      </w:pPr>
      <w:r w:rsidRPr="004A305F">
        <w:rPr>
          <w:sz w:val="20"/>
          <w:szCs w:val="20"/>
          <w:lang w:val="en-US"/>
        </w:rPr>
        <w:t>Candidates must on the closing date:</w:t>
      </w:r>
    </w:p>
    <w:p w14:paraId="68ABE559" w14:textId="77777777" w:rsidR="00140848" w:rsidRPr="004A305F" w:rsidRDefault="00140848" w:rsidP="00140848">
      <w:pPr>
        <w:widowControl w:val="0"/>
        <w:autoSpaceDE w:val="0"/>
        <w:autoSpaceDN w:val="0"/>
        <w:adjustRightInd w:val="0"/>
        <w:rPr>
          <w:rFonts w:cs="Arial"/>
          <w:bCs/>
          <w:color w:val="00009C"/>
        </w:rPr>
      </w:pPr>
    </w:p>
    <w:p w14:paraId="258A64B2" w14:textId="77777777" w:rsidR="00140848" w:rsidRPr="004A305F" w:rsidRDefault="00140848" w:rsidP="00140848">
      <w:pPr>
        <w:numPr>
          <w:ilvl w:val="0"/>
          <w:numId w:val="39"/>
        </w:numPr>
        <w:spacing w:after="0" w:line="240" w:lineRule="auto"/>
        <w:jc w:val="both"/>
        <w:rPr>
          <w:rFonts w:cs="Arial"/>
          <w:b/>
          <w:u w:val="single"/>
        </w:rPr>
      </w:pPr>
      <w:r w:rsidRPr="004A305F">
        <w:rPr>
          <w:rFonts w:cs="Arial"/>
          <w:b/>
          <w:u w:val="single"/>
        </w:rPr>
        <w:t xml:space="preserve">Professional Qualifications, Experience, </w:t>
      </w:r>
      <w:proofErr w:type="spellStart"/>
      <w:r w:rsidRPr="004A305F">
        <w:rPr>
          <w:rFonts w:cs="Arial"/>
          <w:b/>
          <w:u w:val="single"/>
        </w:rPr>
        <w:t>etc</w:t>
      </w:r>
      <w:proofErr w:type="spellEnd"/>
    </w:p>
    <w:p w14:paraId="4945C094" w14:textId="77777777" w:rsidR="00140848" w:rsidRPr="004A305F" w:rsidRDefault="00140848" w:rsidP="00140848">
      <w:pPr>
        <w:numPr>
          <w:ilvl w:val="1"/>
          <w:numId w:val="39"/>
        </w:numPr>
        <w:tabs>
          <w:tab w:val="num" w:pos="480"/>
        </w:tabs>
        <w:spacing w:after="0" w:line="240" w:lineRule="auto"/>
        <w:jc w:val="both"/>
        <w:rPr>
          <w:rFonts w:cs="Arial"/>
        </w:rPr>
      </w:pPr>
      <w:r w:rsidRPr="004A305F">
        <w:rPr>
          <w:rFonts w:cs="Arial"/>
        </w:rPr>
        <w:t xml:space="preserve">Eligible applicants will be those who on the closing date for the competition are: </w:t>
      </w:r>
    </w:p>
    <w:p w14:paraId="13F9C549" w14:textId="77777777" w:rsidR="00140848" w:rsidRPr="004A305F" w:rsidRDefault="00140848" w:rsidP="00140848">
      <w:pPr>
        <w:tabs>
          <w:tab w:val="num" w:pos="480"/>
        </w:tabs>
        <w:ind w:left="851"/>
        <w:jc w:val="both"/>
        <w:rPr>
          <w:rFonts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2"/>
        <w:gridCol w:w="6180"/>
        <w:gridCol w:w="220"/>
      </w:tblGrid>
      <w:tr w:rsidR="00140848" w:rsidRPr="004A305F" w14:paraId="69FB4C8B" w14:textId="77777777" w:rsidTr="00AE06F3">
        <w:tc>
          <w:tcPr>
            <w:tcW w:w="789" w:type="dxa"/>
            <w:gridSpan w:val="2"/>
            <w:tcBorders>
              <w:top w:val="nil"/>
              <w:left w:val="nil"/>
              <w:bottom w:val="nil"/>
              <w:right w:val="nil"/>
            </w:tcBorders>
            <w:shd w:val="clear" w:color="auto" w:fill="auto"/>
          </w:tcPr>
          <w:p w14:paraId="70123AFD" w14:textId="77777777" w:rsidR="00140848" w:rsidRPr="004A305F" w:rsidRDefault="00140848" w:rsidP="00AE06F3">
            <w:pPr>
              <w:tabs>
                <w:tab w:val="num" w:pos="480"/>
              </w:tabs>
              <w:jc w:val="both"/>
              <w:rPr>
                <w:rFonts w:cs="Arial"/>
              </w:rPr>
            </w:pPr>
            <w:r w:rsidRPr="004A305F">
              <w:rPr>
                <w:rFonts w:cs="Arial"/>
              </w:rPr>
              <w:t>(i)</w:t>
            </w:r>
          </w:p>
        </w:tc>
        <w:tc>
          <w:tcPr>
            <w:tcW w:w="6400" w:type="dxa"/>
            <w:gridSpan w:val="2"/>
            <w:tcBorders>
              <w:top w:val="nil"/>
              <w:left w:val="nil"/>
              <w:bottom w:val="nil"/>
              <w:right w:val="nil"/>
            </w:tcBorders>
            <w:shd w:val="clear" w:color="auto" w:fill="auto"/>
          </w:tcPr>
          <w:p w14:paraId="066DE1F7" w14:textId="77777777" w:rsidR="00140848" w:rsidRPr="004A305F" w:rsidRDefault="00140848" w:rsidP="00AE06F3">
            <w:pPr>
              <w:rPr>
                <w:rFonts w:cs="Arial"/>
              </w:rPr>
            </w:pPr>
            <w:r w:rsidRPr="004A305F">
              <w:rPr>
                <w:rFonts w:cs="Arial"/>
              </w:rPr>
              <w:t>Be a registered nurse with the Nursing and Midwifery Board of Ireland (</w:t>
            </w:r>
            <w:proofErr w:type="spellStart"/>
            <w:r w:rsidRPr="004A305F">
              <w:rPr>
                <w:rFonts w:cs="Arial"/>
              </w:rPr>
              <w:t>Bord</w:t>
            </w:r>
            <w:proofErr w:type="spellEnd"/>
            <w:r w:rsidRPr="004A305F">
              <w:rPr>
                <w:rFonts w:cs="Arial"/>
              </w:rPr>
              <w:t xml:space="preserve"> </w:t>
            </w:r>
            <w:proofErr w:type="spellStart"/>
            <w:r w:rsidRPr="004A305F">
              <w:rPr>
                <w:rFonts w:cs="Arial"/>
              </w:rPr>
              <w:t>Altranais</w:t>
            </w:r>
            <w:proofErr w:type="spellEnd"/>
            <w:r w:rsidRPr="004A305F">
              <w:rPr>
                <w:rFonts w:cs="Arial"/>
              </w:rPr>
              <w:t xml:space="preserve"> </w:t>
            </w:r>
            <w:proofErr w:type="spellStart"/>
            <w:r w:rsidRPr="004A305F">
              <w:rPr>
                <w:rFonts w:cs="Arial"/>
              </w:rPr>
              <w:t>agus</w:t>
            </w:r>
            <w:proofErr w:type="spellEnd"/>
            <w:r w:rsidRPr="004A305F">
              <w:rPr>
                <w:rFonts w:cs="Arial"/>
              </w:rPr>
              <w:t xml:space="preserve"> </w:t>
            </w:r>
            <w:proofErr w:type="spellStart"/>
            <w:r w:rsidRPr="004A305F">
              <w:rPr>
                <w:rFonts w:cs="Arial"/>
              </w:rPr>
              <w:t>Cnáimhseachais</w:t>
            </w:r>
            <w:proofErr w:type="spellEnd"/>
            <w:r w:rsidRPr="004A305F">
              <w:rPr>
                <w:rFonts w:cs="Arial"/>
              </w:rPr>
              <w:t xml:space="preserve"> </w:t>
            </w:r>
            <w:proofErr w:type="spellStart"/>
            <w:r w:rsidRPr="004A305F">
              <w:rPr>
                <w:rFonts w:cs="Arial"/>
              </w:rPr>
              <w:t>na</w:t>
            </w:r>
            <w:proofErr w:type="spellEnd"/>
            <w:r w:rsidRPr="004A305F">
              <w:rPr>
                <w:rFonts w:cs="Arial"/>
              </w:rPr>
              <w:t xml:space="preserve"> </w:t>
            </w:r>
            <w:proofErr w:type="spellStart"/>
            <w:r w:rsidRPr="004A305F">
              <w:rPr>
                <w:rFonts w:cs="Arial"/>
              </w:rPr>
              <w:t>hÉireann</w:t>
            </w:r>
            <w:proofErr w:type="spellEnd"/>
            <w:r w:rsidRPr="004A305F">
              <w:rPr>
                <w:rFonts w:cs="Arial"/>
              </w:rPr>
              <w:t>) or entitled to be so registered.</w:t>
            </w:r>
          </w:p>
          <w:p w14:paraId="4082837E" w14:textId="77777777" w:rsidR="00140848" w:rsidRPr="004A305F" w:rsidRDefault="00140848" w:rsidP="00AE06F3">
            <w:pPr>
              <w:tabs>
                <w:tab w:val="left" w:pos="1680"/>
              </w:tabs>
              <w:jc w:val="both"/>
              <w:rPr>
                <w:rFonts w:cs="Arial"/>
              </w:rPr>
            </w:pPr>
          </w:p>
        </w:tc>
      </w:tr>
      <w:tr w:rsidR="00140848" w:rsidRPr="004A305F" w14:paraId="28E2203F" w14:textId="77777777" w:rsidTr="00AE06F3">
        <w:tc>
          <w:tcPr>
            <w:tcW w:w="789" w:type="dxa"/>
            <w:gridSpan w:val="2"/>
            <w:tcBorders>
              <w:top w:val="nil"/>
              <w:left w:val="nil"/>
              <w:bottom w:val="nil"/>
              <w:right w:val="nil"/>
            </w:tcBorders>
            <w:shd w:val="clear" w:color="auto" w:fill="auto"/>
          </w:tcPr>
          <w:p w14:paraId="68B44D2E" w14:textId="77777777" w:rsidR="00140848" w:rsidRPr="004A305F" w:rsidRDefault="00140848" w:rsidP="00AE06F3">
            <w:pPr>
              <w:tabs>
                <w:tab w:val="num" w:pos="480"/>
              </w:tabs>
              <w:jc w:val="both"/>
              <w:rPr>
                <w:rFonts w:cs="Arial"/>
                <w:b/>
              </w:rPr>
            </w:pPr>
          </w:p>
        </w:tc>
        <w:tc>
          <w:tcPr>
            <w:tcW w:w="6400" w:type="dxa"/>
            <w:gridSpan w:val="2"/>
            <w:tcBorders>
              <w:top w:val="nil"/>
              <w:left w:val="nil"/>
              <w:bottom w:val="nil"/>
              <w:right w:val="nil"/>
            </w:tcBorders>
            <w:shd w:val="clear" w:color="auto" w:fill="auto"/>
          </w:tcPr>
          <w:p w14:paraId="6801D1FF" w14:textId="77777777" w:rsidR="00140848" w:rsidRPr="004A305F" w:rsidRDefault="00140848" w:rsidP="00AE06F3">
            <w:pPr>
              <w:tabs>
                <w:tab w:val="num" w:pos="480"/>
              </w:tabs>
              <w:jc w:val="center"/>
              <w:rPr>
                <w:rFonts w:cs="Arial"/>
                <w:b/>
              </w:rPr>
            </w:pPr>
            <w:r w:rsidRPr="004A305F">
              <w:rPr>
                <w:rFonts w:cs="Arial"/>
                <w:b/>
              </w:rPr>
              <w:t>And</w:t>
            </w:r>
          </w:p>
        </w:tc>
      </w:tr>
      <w:tr w:rsidR="00140848" w:rsidRPr="004A305F" w14:paraId="451C0ABC" w14:textId="77777777" w:rsidTr="00AE06F3">
        <w:trPr>
          <w:trHeight w:val="2477"/>
        </w:trPr>
        <w:tc>
          <w:tcPr>
            <w:tcW w:w="789" w:type="dxa"/>
            <w:gridSpan w:val="2"/>
            <w:tcBorders>
              <w:top w:val="nil"/>
              <w:left w:val="nil"/>
              <w:bottom w:val="nil"/>
              <w:right w:val="nil"/>
            </w:tcBorders>
            <w:shd w:val="clear" w:color="auto" w:fill="auto"/>
          </w:tcPr>
          <w:p w14:paraId="05FBC6FD" w14:textId="77777777" w:rsidR="00140848" w:rsidRPr="004A305F" w:rsidRDefault="00140848" w:rsidP="00AE06F3">
            <w:pPr>
              <w:tabs>
                <w:tab w:val="num" w:pos="480"/>
              </w:tabs>
              <w:jc w:val="both"/>
              <w:rPr>
                <w:rFonts w:cs="Arial"/>
              </w:rPr>
            </w:pPr>
            <w:r w:rsidRPr="004A305F">
              <w:rPr>
                <w:rFonts w:cs="Arial"/>
              </w:rPr>
              <w:t>(ii)</w:t>
            </w:r>
          </w:p>
        </w:tc>
        <w:tc>
          <w:tcPr>
            <w:tcW w:w="6400" w:type="dxa"/>
            <w:gridSpan w:val="2"/>
            <w:tcBorders>
              <w:top w:val="nil"/>
              <w:left w:val="nil"/>
              <w:bottom w:val="nil"/>
              <w:right w:val="nil"/>
            </w:tcBorders>
            <w:shd w:val="clear" w:color="auto" w:fill="auto"/>
          </w:tcPr>
          <w:p w14:paraId="270D90EF" w14:textId="77777777" w:rsidR="00140848" w:rsidRPr="004A305F" w:rsidRDefault="00140848" w:rsidP="00AE06F3">
            <w:pPr>
              <w:rPr>
                <w:rFonts w:cs="Arial"/>
              </w:rPr>
            </w:pPr>
            <w:r w:rsidRPr="004A305F">
              <w:rPr>
                <w:rFonts w:cs="Arial"/>
              </w:rPr>
              <w:t>Be registered in the division(s) of the Nursing and Midwifery Board of Ireland (</w:t>
            </w:r>
            <w:proofErr w:type="spellStart"/>
            <w:r w:rsidRPr="004A305F">
              <w:rPr>
                <w:rFonts w:cs="Arial"/>
              </w:rPr>
              <w:t>Bord</w:t>
            </w:r>
            <w:proofErr w:type="spellEnd"/>
            <w:r w:rsidRPr="004A305F">
              <w:rPr>
                <w:rFonts w:cs="Arial"/>
              </w:rPr>
              <w:t xml:space="preserve"> </w:t>
            </w:r>
            <w:proofErr w:type="spellStart"/>
            <w:r w:rsidRPr="004A305F">
              <w:rPr>
                <w:rFonts w:cs="Arial"/>
              </w:rPr>
              <w:t>Altranais</w:t>
            </w:r>
            <w:proofErr w:type="spellEnd"/>
            <w:r w:rsidRPr="004A305F">
              <w:rPr>
                <w:rFonts w:cs="Arial"/>
              </w:rPr>
              <w:t xml:space="preserve"> </w:t>
            </w:r>
            <w:proofErr w:type="spellStart"/>
            <w:r w:rsidRPr="004A305F">
              <w:rPr>
                <w:rFonts w:cs="Arial"/>
              </w:rPr>
              <w:t>agus</w:t>
            </w:r>
            <w:proofErr w:type="spellEnd"/>
            <w:r w:rsidRPr="004A305F">
              <w:rPr>
                <w:rFonts w:cs="Arial"/>
              </w:rPr>
              <w:t xml:space="preserve"> </w:t>
            </w:r>
            <w:proofErr w:type="spellStart"/>
            <w:r w:rsidRPr="004A305F">
              <w:rPr>
                <w:rFonts w:cs="Arial"/>
              </w:rPr>
              <w:t>Cnáimhseachais</w:t>
            </w:r>
            <w:proofErr w:type="spellEnd"/>
            <w:r w:rsidRPr="004A305F">
              <w:rPr>
                <w:rFonts w:cs="Arial"/>
              </w:rPr>
              <w:t xml:space="preserve"> </w:t>
            </w:r>
            <w:proofErr w:type="spellStart"/>
            <w:r w:rsidRPr="004A305F">
              <w:rPr>
                <w:rFonts w:cs="Arial"/>
              </w:rPr>
              <w:t>na</w:t>
            </w:r>
            <w:proofErr w:type="spellEnd"/>
            <w:r w:rsidRPr="004A305F">
              <w:rPr>
                <w:rFonts w:cs="Arial"/>
              </w:rPr>
              <w:t xml:space="preserve"> </w:t>
            </w:r>
            <w:proofErr w:type="spellStart"/>
            <w:r w:rsidRPr="004A305F">
              <w:rPr>
                <w:rFonts w:cs="Arial"/>
              </w:rPr>
              <w:t>hÉireann</w:t>
            </w:r>
            <w:proofErr w:type="spellEnd"/>
            <w:r w:rsidRPr="004A305F">
              <w:rPr>
                <w:rFonts w:cs="Arial"/>
              </w:rPr>
              <w:t>) Register for which the application is being made or entitled to be so registered.</w:t>
            </w:r>
          </w:p>
          <w:p w14:paraId="4E7DDD11" w14:textId="77777777" w:rsidR="00140848" w:rsidRPr="004A305F" w:rsidRDefault="00140848" w:rsidP="00AE06F3">
            <w:pPr>
              <w:tabs>
                <w:tab w:val="num" w:pos="480"/>
              </w:tabs>
              <w:jc w:val="center"/>
              <w:rPr>
                <w:rFonts w:cs="Arial"/>
              </w:rPr>
            </w:pPr>
          </w:p>
          <w:p w14:paraId="4D96B083" w14:textId="77777777" w:rsidR="00140848" w:rsidRPr="004A305F" w:rsidRDefault="00140848" w:rsidP="00AE06F3">
            <w:pPr>
              <w:tabs>
                <w:tab w:val="num" w:pos="480"/>
              </w:tabs>
              <w:jc w:val="center"/>
              <w:rPr>
                <w:rFonts w:cs="Arial"/>
                <w:b/>
              </w:rPr>
            </w:pPr>
            <w:r w:rsidRPr="004A305F">
              <w:rPr>
                <w:rFonts w:cs="Arial"/>
                <w:b/>
              </w:rPr>
              <w:t>Or</w:t>
            </w:r>
          </w:p>
          <w:p w14:paraId="28FE7B8A" w14:textId="77777777" w:rsidR="00140848" w:rsidRPr="004A305F" w:rsidRDefault="00140848" w:rsidP="00AE06F3">
            <w:pPr>
              <w:rPr>
                <w:rFonts w:cs="Arial"/>
              </w:rPr>
            </w:pPr>
            <w:r w:rsidRPr="004A305F">
              <w:rPr>
                <w:rFonts w:cs="Arial"/>
              </w:rPr>
              <w:t>In recognition of services that span several patient/client groups and/or     division(s) of the register, provide evidence of validated competences  relevant to the context of practice</w:t>
            </w:r>
          </w:p>
          <w:p w14:paraId="45D630D4" w14:textId="77777777" w:rsidR="00140848" w:rsidRPr="004A305F" w:rsidRDefault="00140848" w:rsidP="00AE06F3">
            <w:pPr>
              <w:tabs>
                <w:tab w:val="num" w:pos="480"/>
              </w:tabs>
              <w:jc w:val="both"/>
              <w:rPr>
                <w:rFonts w:cs="Arial"/>
              </w:rPr>
            </w:pPr>
          </w:p>
        </w:tc>
      </w:tr>
      <w:tr w:rsidR="00140848" w:rsidRPr="004A305F" w14:paraId="687062B9" w14:textId="77777777" w:rsidTr="00AE06F3">
        <w:tc>
          <w:tcPr>
            <w:tcW w:w="789" w:type="dxa"/>
            <w:gridSpan w:val="2"/>
            <w:tcBorders>
              <w:top w:val="nil"/>
              <w:left w:val="nil"/>
              <w:bottom w:val="nil"/>
              <w:right w:val="nil"/>
            </w:tcBorders>
            <w:shd w:val="clear" w:color="auto" w:fill="auto"/>
          </w:tcPr>
          <w:p w14:paraId="5FD4A057" w14:textId="77777777" w:rsidR="00140848" w:rsidRPr="004A305F" w:rsidRDefault="00140848" w:rsidP="00AE06F3">
            <w:pPr>
              <w:tabs>
                <w:tab w:val="num" w:pos="480"/>
              </w:tabs>
              <w:jc w:val="both"/>
              <w:rPr>
                <w:rFonts w:cs="Arial"/>
                <w:b/>
              </w:rPr>
            </w:pPr>
          </w:p>
        </w:tc>
        <w:tc>
          <w:tcPr>
            <w:tcW w:w="6400" w:type="dxa"/>
            <w:gridSpan w:val="2"/>
            <w:tcBorders>
              <w:top w:val="nil"/>
              <w:left w:val="nil"/>
              <w:bottom w:val="nil"/>
              <w:right w:val="nil"/>
            </w:tcBorders>
            <w:shd w:val="clear" w:color="auto" w:fill="auto"/>
          </w:tcPr>
          <w:p w14:paraId="7B1825D5" w14:textId="77777777" w:rsidR="00140848" w:rsidRPr="004A305F" w:rsidRDefault="00140848" w:rsidP="00AE06F3">
            <w:pPr>
              <w:tabs>
                <w:tab w:val="num" w:pos="480"/>
              </w:tabs>
              <w:jc w:val="center"/>
              <w:rPr>
                <w:rFonts w:cs="Arial"/>
                <w:b/>
              </w:rPr>
            </w:pPr>
            <w:r w:rsidRPr="004A305F">
              <w:rPr>
                <w:rFonts w:cs="Arial"/>
                <w:b/>
              </w:rPr>
              <w:t>And</w:t>
            </w:r>
          </w:p>
        </w:tc>
      </w:tr>
      <w:tr w:rsidR="00140848" w:rsidRPr="004A305F" w14:paraId="114123CE" w14:textId="77777777" w:rsidTr="00AE06F3">
        <w:tc>
          <w:tcPr>
            <w:tcW w:w="789" w:type="dxa"/>
            <w:gridSpan w:val="2"/>
            <w:tcBorders>
              <w:top w:val="nil"/>
              <w:left w:val="nil"/>
              <w:bottom w:val="nil"/>
              <w:right w:val="nil"/>
            </w:tcBorders>
            <w:shd w:val="clear" w:color="auto" w:fill="auto"/>
          </w:tcPr>
          <w:p w14:paraId="3A884746" w14:textId="77777777" w:rsidR="00140848" w:rsidRPr="004A305F" w:rsidRDefault="00140848" w:rsidP="00AE06F3">
            <w:pPr>
              <w:tabs>
                <w:tab w:val="num" w:pos="480"/>
              </w:tabs>
              <w:jc w:val="both"/>
              <w:rPr>
                <w:rFonts w:cs="Arial"/>
              </w:rPr>
            </w:pPr>
            <w:r w:rsidRPr="004A305F">
              <w:rPr>
                <w:rFonts w:cs="Arial"/>
              </w:rPr>
              <w:t>(iii)</w:t>
            </w:r>
          </w:p>
        </w:tc>
        <w:tc>
          <w:tcPr>
            <w:tcW w:w="6400" w:type="dxa"/>
            <w:gridSpan w:val="2"/>
            <w:tcBorders>
              <w:top w:val="nil"/>
              <w:left w:val="nil"/>
              <w:bottom w:val="nil"/>
              <w:right w:val="nil"/>
            </w:tcBorders>
            <w:shd w:val="clear" w:color="auto" w:fill="auto"/>
          </w:tcPr>
          <w:p w14:paraId="192309C5" w14:textId="77777777" w:rsidR="00140848" w:rsidRPr="004A305F" w:rsidRDefault="00140848" w:rsidP="00AE06F3">
            <w:pPr>
              <w:rPr>
                <w:rFonts w:cs="Arial"/>
              </w:rPr>
            </w:pPr>
            <w:r w:rsidRPr="004A305F">
              <w:rPr>
                <w:rFonts w:cs="Arial"/>
              </w:rPr>
              <w:t xml:space="preserve">Have a broad base of clinical experience relevant to the advanced field of practice </w:t>
            </w:r>
          </w:p>
          <w:p w14:paraId="703A8D06" w14:textId="77777777" w:rsidR="00140848" w:rsidRPr="004A305F" w:rsidRDefault="00140848" w:rsidP="00AE06F3">
            <w:pPr>
              <w:tabs>
                <w:tab w:val="num" w:pos="480"/>
              </w:tabs>
              <w:jc w:val="center"/>
              <w:rPr>
                <w:rFonts w:cs="Arial"/>
                <w:b/>
              </w:rPr>
            </w:pPr>
          </w:p>
        </w:tc>
      </w:tr>
      <w:tr w:rsidR="00140848" w:rsidRPr="004A305F" w14:paraId="21E0B843" w14:textId="77777777" w:rsidTr="00AE06F3">
        <w:tc>
          <w:tcPr>
            <w:tcW w:w="789" w:type="dxa"/>
            <w:gridSpan w:val="2"/>
            <w:tcBorders>
              <w:top w:val="nil"/>
              <w:left w:val="nil"/>
              <w:bottom w:val="nil"/>
              <w:right w:val="nil"/>
            </w:tcBorders>
            <w:shd w:val="clear" w:color="auto" w:fill="auto"/>
          </w:tcPr>
          <w:p w14:paraId="0B075CCC" w14:textId="77777777" w:rsidR="00140848" w:rsidRPr="004A305F" w:rsidRDefault="00140848" w:rsidP="00AE06F3">
            <w:pPr>
              <w:tabs>
                <w:tab w:val="num" w:pos="480"/>
              </w:tabs>
              <w:jc w:val="both"/>
              <w:rPr>
                <w:rFonts w:cs="Arial"/>
              </w:rPr>
            </w:pPr>
          </w:p>
        </w:tc>
        <w:tc>
          <w:tcPr>
            <w:tcW w:w="6400" w:type="dxa"/>
            <w:gridSpan w:val="2"/>
            <w:tcBorders>
              <w:top w:val="nil"/>
              <w:left w:val="nil"/>
              <w:bottom w:val="nil"/>
              <w:right w:val="nil"/>
            </w:tcBorders>
            <w:shd w:val="clear" w:color="auto" w:fill="auto"/>
          </w:tcPr>
          <w:p w14:paraId="347FB21C" w14:textId="77777777" w:rsidR="00140848" w:rsidRPr="004A305F" w:rsidRDefault="00140848" w:rsidP="00AE06F3">
            <w:pPr>
              <w:jc w:val="center"/>
              <w:rPr>
                <w:rFonts w:cs="Arial"/>
                <w:b/>
              </w:rPr>
            </w:pPr>
            <w:r w:rsidRPr="004A305F">
              <w:rPr>
                <w:rFonts w:cs="Arial"/>
                <w:b/>
              </w:rPr>
              <w:t>And</w:t>
            </w:r>
          </w:p>
        </w:tc>
      </w:tr>
      <w:tr w:rsidR="00140848" w:rsidRPr="004A305F" w14:paraId="192D87BF" w14:textId="77777777" w:rsidTr="00AE06F3">
        <w:tc>
          <w:tcPr>
            <w:tcW w:w="789" w:type="dxa"/>
            <w:gridSpan w:val="2"/>
            <w:tcBorders>
              <w:top w:val="nil"/>
              <w:left w:val="nil"/>
              <w:bottom w:val="nil"/>
              <w:right w:val="nil"/>
            </w:tcBorders>
            <w:shd w:val="clear" w:color="auto" w:fill="auto"/>
          </w:tcPr>
          <w:p w14:paraId="45099EE2" w14:textId="77777777" w:rsidR="00140848" w:rsidRPr="004A305F" w:rsidRDefault="00140848" w:rsidP="00AE06F3">
            <w:pPr>
              <w:tabs>
                <w:tab w:val="num" w:pos="480"/>
              </w:tabs>
              <w:jc w:val="both"/>
              <w:rPr>
                <w:rFonts w:cs="Arial"/>
              </w:rPr>
            </w:pPr>
            <w:r w:rsidRPr="004A305F">
              <w:rPr>
                <w:rFonts w:cs="Arial"/>
              </w:rPr>
              <w:t>(iv)</w:t>
            </w:r>
          </w:p>
        </w:tc>
        <w:tc>
          <w:tcPr>
            <w:tcW w:w="6400" w:type="dxa"/>
            <w:gridSpan w:val="2"/>
            <w:tcBorders>
              <w:top w:val="nil"/>
              <w:left w:val="nil"/>
              <w:bottom w:val="nil"/>
              <w:right w:val="nil"/>
            </w:tcBorders>
            <w:shd w:val="clear" w:color="auto" w:fill="auto"/>
          </w:tcPr>
          <w:p w14:paraId="1D2114F4" w14:textId="77777777" w:rsidR="00140848" w:rsidRPr="004A305F" w:rsidRDefault="00140848" w:rsidP="00AE06F3">
            <w:pPr>
              <w:shd w:val="clear" w:color="auto" w:fill="FFFFFF"/>
              <w:spacing w:after="200" w:line="276" w:lineRule="auto"/>
              <w:contextualSpacing/>
              <w:rPr>
                <w:rFonts w:eastAsia="Calibri" w:cs="Arial"/>
              </w:rPr>
            </w:pPr>
            <w:r w:rsidRPr="004A305F">
              <w:rPr>
                <w:rFonts w:eastAsia="Calibri" w:cs="Arial"/>
              </w:rPr>
              <w:t xml:space="preserve">Be eligible to undertake a Master’s Degree (or higher) in Nursing or a Master’s Degree, which is relevant, or applicable, to </w:t>
            </w:r>
            <w:r w:rsidRPr="004A305F">
              <w:rPr>
                <w:rFonts w:eastAsia="Calibri" w:cs="Arial"/>
                <w:b/>
                <w:i/>
              </w:rPr>
              <w:t>the advanced field of practice</w:t>
            </w:r>
            <w:r w:rsidRPr="004A305F">
              <w:rPr>
                <w:rFonts w:eastAsia="Calibri" w:cs="Arial"/>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tc>
      </w:tr>
      <w:tr w:rsidR="00140848" w:rsidRPr="004A305F" w14:paraId="6EA4C32C" w14:textId="77777777" w:rsidTr="00AE06F3">
        <w:tc>
          <w:tcPr>
            <w:tcW w:w="789" w:type="dxa"/>
            <w:gridSpan w:val="2"/>
            <w:tcBorders>
              <w:top w:val="nil"/>
              <w:left w:val="nil"/>
              <w:bottom w:val="nil"/>
              <w:right w:val="nil"/>
            </w:tcBorders>
            <w:shd w:val="clear" w:color="auto" w:fill="auto"/>
          </w:tcPr>
          <w:p w14:paraId="02BD5939" w14:textId="77777777" w:rsidR="00140848" w:rsidRPr="004A305F" w:rsidRDefault="00140848" w:rsidP="00AE06F3">
            <w:pPr>
              <w:tabs>
                <w:tab w:val="num" w:pos="480"/>
              </w:tabs>
              <w:jc w:val="both"/>
              <w:rPr>
                <w:rFonts w:cs="Arial"/>
                <w:b/>
              </w:rPr>
            </w:pPr>
          </w:p>
        </w:tc>
        <w:tc>
          <w:tcPr>
            <w:tcW w:w="6400" w:type="dxa"/>
            <w:gridSpan w:val="2"/>
            <w:tcBorders>
              <w:top w:val="nil"/>
              <w:left w:val="nil"/>
              <w:bottom w:val="nil"/>
              <w:right w:val="nil"/>
            </w:tcBorders>
            <w:shd w:val="clear" w:color="auto" w:fill="auto"/>
          </w:tcPr>
          <w:p w14:paraId="351480FA" w14:textId="77777777" w:rsidR="00140848" w:rsidRPr="004A305F" w:rsidRDefault="00140848" w:rsidP="00AE06F3">
            <w:pPr>
              <w:shd w:val="clear" w:color="auto" w:fill="FFFFFF"/>
              <w:jc w:val="center"/>
              <w:rPr>
                <w:rFonts w:cs="Arial"/>
                <w:b/>
              </w:rPr>
            </w:pPr>
            <w:r w:rsidRPr="004A305F">
              <w:rPr>
                <w:rFonts w:cs="Arial"/>
                <w:b/>
              </w:rPr>
              <w:t>Or</w:t>
            </w:r>
          </w:p>
        </w:tc>
      </w:tr>
      <w:tr w:rsidR="00140848" w:rsidRPr="004A305F" w14:paraId="7A23E951" w14:textId="77777777" w:rsidTr="00AE06F3">
        <w:trPr>
          <w:gridAfter w:val="1"/>
          <w:wAfter w:w="220" w:type="dxa"/>
        </w:trPr>
        <w:tc>
          <w:tcPr>
            <w:tcW w:w="777" w:type="dxa"/>
            <w:tcBorders>
              <w:top w:val="nil"/>
              <w:left w:val="nil"/>
              <w:bottom w:val="nil"/>
              <w:right w:val="nil"/>
            </w:tcBorders>
            <w:shd w:val="clear" w:color="auto" w:fill="auto"/>
          </w:tcPr>
          <w:p w14:paraId="41E06359" w14:textId="77777777" w:rsidR="00140848" w:rsidRPr="004A305F" w:rsidRDefault="00140848" w:rsidP="00AE06F3">
            <w:pPr>
              <w:tabs>
                <w:tab w:val="num" w:pos="480"/>
              </w:tabs>
              <w:jc w:val="both"/>
              <w:rPr>
                <w:rFonts w:cs="Arial"/>
              </w:rPr>
            </w:pPr>
            <w:r w:rsidRPr="004A305F">
              <w:rPr>
                <w:rFonts w:cs="Arial"/>
              </w:rPr>
              <w:t>(v)</w:t>
            </w:r>
          </w:p>
          <w:p w14:paraId="58502A9E" w14:textId="77777777" w:rsidR="00140848" w:rsidRPr="004A305F" w:rsidRDefault="00140848" w:rsidP="00AE06F3">
            <w:pPr>
              <w:tabs>
                <w:tab w:val="num" w:pos="480"/>
              </w:tabs>
              <w:jc w:val="both"/>
              <w:rPr>
                <w:rFonts w:cs="Arial"/>
              </w:rPr>
            </w:pPr>
          </w:p>
          <w:p w14:paraId="167FCEB6" w14:textId="77777777" w:rsidR="00140848" w:rsidRPr="004A305F" w:rsidRDefault="00140848" w:rsidP="00AE06F3">
            <w:pPr>
              <w:tabs>
                <w:tab w:val="num" w:pos="480"/>
              </w:tabs>
              <w:jc w:val="both"/>
              <w:rPr>
                <w:rFonts w:cs="Arial"/>
              </w:rPr>
            </w:pPr>
          </w:p>
          <w:p w14:paraId="4029D164" w14:textId="77777777" w:rsidR="00140848" w:rsidRPr="004A305F" w:rsidRDefault="00140848" w:rsidP="00AE06F3">
            <w:pPr>
              <w:tabs>
                <w:tab w:val="num" w:pos="480"/>
              </w:tabs>
              <w:jc w:val="both"/>
              <w:rPr>
                <w:rFonts w:cs="Arial"/>
              </w:rPr>
            </w:pPr>
          </w:p>
          <w:p w14:paraId="1F52C8CA" w14:textId="77777777" w:rsidR="00140848" w:rsidRPr="004A305F" w:rsidRDefault="00140848" w:rsidP="00AE06F3">
            <w:pPr>
              <w:tabs>
                <w:tab w:val="num" w:pos="480"/>
              </w:tabs>
              <w:jc w:val="both"/>
              <w:rPr>
                <w:rFonts w:cs="Arial"/>
              </w:rPr>
            </w:pPr>
          </w:p>
          <w:p w14:paraId="45EDB098" w14:textId="77777777" w:rsidR="00140848" w:rsidRPr="004A305F" w:rsidRDefault="00140848" w:rsidP="00AE06F3">
            <w:pPr>
              <w:tabs>
                <w:tab w:val="num" w:pos="480"/>
              </w:tabs>
              <w:jc w:val="both"/>
              <w:rPr>
                <w:rFonts w:cs="Arial"/>
              </w:rPr>
            </w:pPr>
          </w:p>
          <w:p w14:paraId="4A9C8E6F" w14:textId="77777777" w:rsidR="00140848" w:rsidRPr="004A305F" w:rsidRDefault="00140848" w:rsidP="00AE06F3">
            <w:pPr>
              <w:tabs>
                <w:tab w:val="num" w:pos="480"/>
              </w:tabs>
              <w:jc w:val="both"/>
              <w:rPr>
                <w:rFonts w:cs="Arial"/>
              </w:rPr>
            </w:pPr>
          </w:p>
          <w:p w14:paraId="731122A5" w14:textId="77777777" w:rsidR="00140848" w:rsidRPr="004A305F" w:rsidRDefault="00140848" w:rsidP="00AE06F3">
            <w:pPr>
              <w:tabs>
                <w:tab w:val="num" w:pos="480"/>
              </w:tabs>
              <w:jc w:val="both"/>
              <w:rPr>
                <w:rFonts w:cs="Arial"/>
              </w:rPr>
            </w:pPr>
          </w:p>
          <w:p w14:paraId="736B0A7A" w14:textId="77777777" w:rsidR="00140848" w:rsidRPr="004A305F" w:rsidRDefault="00140848" w:rsidP="00AE06F3">
            <w:pPr>
              <w:tabs>
                <w:tab w:val="num" w:pos="480"/>
              </w:tabs>
              <w:jc w:val="both"/>
              <w:rPr>
                <w:rFonts w:cs="Arial"/>
              </w:rPr>
            </w:pPr>
          </w:p>
          <w:p w14:paraId="6C7DD1F2" w14:textId="77777777" w:rsidR="00140848" w:rsidRPr="004A305F" w:rsidRDefault="00140848" w:rsidP="00AE06F3">
            <w:pPr>
              <w:tabs>
                <w:tab w:val="num" w:pos="480"/>
              </w:tabs>
              <w:jc w:val="both"/>
              <w:rPr>
                <w:rFonts w:cs="Arial"/>
              </w:rPr>
            </w:pPr>
          </w:p>
          <w:p w14:paraId="31EC12D9" w14:textId="77777777" w:rsidR="00140848" w:rsidRPr="004A305F" w:rsidRDefault="00140848" w:rsidP="00AE06F3">
            <w:pPr>
              <w:tabs>
                <w:tab w:val="num" w:pos="480"/>
              </w:tabs>
              <w:jc w:val="both"/>
              <w:rPr>
                <w:rFonts w:cs="Arial"/>
              </w:rPr>
            </w:pPr>
            <w:r w:rsidRPr="004A305F">
              <w:rPr>
                <w:rFonts w:cs="Arial"/>
              </w:rPr>
              <w:t>(vi)</w:t>
            </w:r>
          </w:p>
        </w:tc>
        <w:tc>
          <w:tcPr>
            <w:tcW w:w="6192" w:type="dxa"/>
            <w:gridSpan w:val="2"/>
            <w:tcBorders>
              <w:top w:val="nil"/>
              <w:left w:val="nil"/>
              <w:bottom w:val="nil"/>
              <w:right w:val="nil"/>
            </w:tcBorders>
            <w:shd w:val="clear" w:color="auto" w:fill="auto"/>
          </w:tcPr>
          <w:p w14:paraId="489BD1E5" w14:textId="77777777" w:rsidR="00140848" w:rsidRPr="004A305F" w:rsidRDefault="00140848" w:rsidP="00AE06F3">
            <w:pPr>
              <w:rPr>
                <w:rFonts w:cs="Arial"/>
              </w:rPr>
            </w:pPr>
            <w:r w:rsidRPr="004A305F">
              <w:rPr>
                <w:rFonts w:cs="Arial"/>
              </w:rPr>
              <w:lastRenderedPageBreak/>
              <w:t xml:space="preserve">Be currently undertaking a Master’s Degree in Nursing (Advanced Practice Pathway) </w:t>
            </w:r>
            <w:r w:rsidRPr="004A305F">
              <w:rPr>
                <w:rFonts w:cs="Arial"/>
                <w:u w:val="single"/>
              </w:rPr>
              <w:t>or be eligible</w:t>
            </w:r>
            <w:r w:rsidRPr="004A305F">
              <w:rPr>
                <w:rFonts w:cs="Arial"/>
              </w:rPr>
              <w:t xml:space="preserv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1CD00779" w14:textId="77777777" w:rsidR="00140848" w:rsidRPr="004A305F" w:rsidRDefault="00140848" w:rsidP="00AE06F3">
            <w:pPr>
              <w:jc w:val="center"/>
              <w:rPr>
                <w:rFonts w:cs="Arial"/>
              </w:rPr>
            </w:pPr>
            <w:r w:rsidRPr="004A305F">
              <w:rPr>
                <w:rFonts w:cs="Arial"/>
                <w:b/>
              </w:rPr>
              <w:t xml:space="preserve">        Or</w:t>
            </w:r>
          </w:p>
          <w:p w14:paraId="73BB7928" w14:textId="77777777" w:rsidR="00140848" w:rsidRPr="004A305F" w:rsidRDefault="00140848" w:rsidP="00AE06F3">
            <w:pPr>
              <w:spacing w:after="200" w:line="276" w:lineRule="auto"/>
              <w:contextualSpacing/>
              <w:rPr>
                <w:rFonts w:cs="Arial"/>
              </w:rPr>
            </w:pPr>
            <w:r w:rsidRPr="004A305F">
              <w:rPr>
                <w:rFonts w:cs="Arial"/>
              </w:rPr>
              <w:lastRenderedPageBreak/>
              <w:t xml:space="preserve">Possess a Master’s Degree (or higher) in Nursing or a Master’s Degree which is relevant, or applicable, to </w:t>
            </w:r>
            <w:r w:rsidRPr="004A305F">
              <w:rPr>
                <w:rFonts w:cs="Arial"/>
                <w:b/>
                <w:i/>
              </w:rPr>
              <w:t>the advanced field of practice</w:t>
            </w:r>
            <w:r w:rsidRPr="004A305F">
              <w:rPr>
                <w:rFonts w:cs="Arial"/>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tc>
      </w:tr>
    </w:tbl>
    <w:p w14:paraId="4EBAB6F2" w14:textId="77777777" w:rsidR="00140848" w:rsidRPr="004A305F" w:rsidRDefault="00140848" w:rsidP="00140848">
      <w:pPr>
        <w:tabs>
          <w:tab w:val="num" w:pos="480"/>
        </w:tabs>
        <w:jc w:val="center"/>
        <w:rPr>
          <w:rFonts w:cs="Arial"/>
          <w:b/>
        </w:rPr>
      </w:pPr>
      <w:r w:rsidRPr="004A305F">
        <w:rPr>
          <w:rFonts w:cs="Arial"/>
          <w:b/>
        </w:rPr>
        <w:lastRenderedPageBreak/>
        <w:t xml:space="preserve">                                       And</w:t>
      </w:r>
    </w:p>
    <w:p w14:paraId="6C0938C1" w14:textId="77777777" w:rsidR="00140848" w:rsidRPr="004A305F" w:rsidRDefault="00140848" w:rsidP="00140848">
      <w:pPr>
        <w:numPr>
          <w:ilvl w:val="1"/>
          <w:numId w:val="39"/>
        </w:numPr>
        <w:tabs>
          <w:tab w:val="num" w:pos="480"/>
        </w:tabs>
        <w:spacing w:after="0" w:line="240" w:lineRule="auto"/>
        <w:jc w:val="both"/>
        <w:rPr>
          <w:rFonts w:cs="Arial"/>
        </w:rPr>
      </w:pPr>
      <w:r w:rsidRPr="004A305F">
        <w:rPr>
          <w:rFonts w:cs="Arial"/>
        </w:rPr>
        <w:t xml:space="preserve">Candidates must possess the requisite knowledge and ability including a high standard of suitability and clinical, professional and administrative capacity to properly discharge the functions of the role. </w:t>
      </w:r>
    </w:p>
    <w:p w14:paraId="713665FF" w14:textId="0D0F3243" w:rsidR="00140848" w:rsidRPr="004A305F" w:rsidRDefault="00140848" w:rsidP="00140848">
      <w:pPr>
        <w:jc w:val="both"/>
        <w:rPr>
          <w:rFonts w:cs="Arial"/>
        </w:rPr>
      </w:pPr>
    </w:p>
    <w:p w14:paraId="4EF3EB49" w14:textId="77777777" w:rsidR="00140848" w:rsidRPr="004A305F" w:rsidRDefault="00140848" w:rsidP="00140848">
      <w:pPr>
        <w:ind w:left="851"/>
        <w:jc w:val="both"/>
        <w:rPr>
          <w:rFonts w:cs="Arial"/>
        </w:rPr>
      </w:pPr>
    </w:p>
    <w:p w14:paraId="7E962EE6" w14:textId="77777777" w:rsidR="00140848" w:rsidRPr="004A305F" w:rsidRDefault="00140848" w:rsidP="00140848">
      <w:pPr>
        <w:pStyle w:val="ListParagraph"/>
        <w:numPr>
          <w:ilvl w:val="0"/>
          <w:numId w:val="39"/>
        </w:numPr>
        <w:spacing w:after="0" w:line="240" w:lineRule="auto"/>
        <w:contextualSpacing w:val="0"/>
        <w:jc w:val="both"/>
        <w:rPr>
          <w:rFonts w:cs="Arial"/>
          <w:b/>
          <w:u w:val="single"/>
        </w:rPr>
      </w:pPr>
      <w:r w:rsidRPr="004A305F">
        <w:rPr>
          <w:rFonts w:cs="Arial"/>
          <w:b/>
          <w:u w:val="single"/>
        </w:rPr>
        <w:t>Annual registration</w:t>
      </w:r>
    </w:p>
    <w:tbl>
      <w:tblPr>
        <w:tblW w:w="0" w:type="auto"/>
        <w:tblLook w:val="04A0" w:firstRow="1" w:lastRow="0" w:firstColumn="1" w:lastColumn="0" w:noHBand="0" w:noVBand="1"/>
      </w:tblPr>
      <w:tblGrid>
        <w:gridCol w:w="791"/>
        <w:gridCol w:w="8507"/>
      </w:tblGrid>
      <w:tr w:rsidR="00140848" w:rsidRPr="004A305F" w14:paraId="478E581D" w14:textId="77777777" w:rsidTr="00AE06F3">
        <w:tc>
          <w:tcPr>
            <w:tcW w:w="421" w:type="dxa"/>
            <w:shd w:val="clear" w:color="auto" w:fill="auto"/>
          </w:tcPr>
          <w:p w14:paraId="62923686" w14:textId="77777777" w:rsidR="00140848" w:rsidRPr="004A305F" w:rsidRDefault="00140848" w:rsidP="00AE06F3">
            <w:pPr>
              <w:pStyle w:val="ListParagraph"/>
              <w:ind w:left="397"/>
              <w:jc w:val="both"/>
              <w:rPr>
                <w:rFonts w:cs="Arial"/>
              </w:rPr>
            </w:pPr>
            <w:r w:rsidRPr="004A305F">
              <w:rPr>
                <w:rFonts w:cs="Arial"/>
              </w:rPr>
              <w:t>(i)</w:t>
            </w:r>
          </w:p>
        </w:tc>
        <w:tc>
          <w:tcPr>
            <w:tcW w:w="8595" w:type="dxa"/>
            <w:shd w:val="clear" w:color="auto" w:fill="auto"/>
          </w:tcPr>
          <w:p w14:paraId="1E428E05" w14:textId="77777777" w:rsidR="00140848" w:rsidRPr="004A305F" w:rsidRDefault="00140848" w:rsidP="00AE06F3">
            <w:pPr>
              <w:jc w:val="both"/>
              <w:rPr>
                <w:rFonts w:cs="Arial"/>
              </w:rPr>
            </w:pPr>
            <w:r w:rsidRPr="004A305F">
              <w:rPr>
                <w:rFonts w:cs="Arial"/>
              </w:rPr>
              <w:t>Practitioners must maintain active annual registration on the appropriate/relevant Division of the register of Nurses and Midwives maintained by the Nursing and Midwifery Board of Ireland (</w:t>
            </w:r>
            <w:proofErr w:type="spellStart"/>
            <w:r w:rsidRPr="004A305F">
              <w:rPr>
                <w:rFonts w:cs="Arial"/>
              </w:rPr>
              <w:t>Bord</w:t>
            </w:r>
            <w:proofErr w:type="spellEnd"/>
            <w:r w:rsidRPr="004A305F">
              <w:rPr>
                <w:rFonts w:cs="Arial"/>
              </w:rPr>
              <w:t xml:space="preserve"> </w:t>
            </w:r>
            <w:proofErr w:type="spellStart"/>
            <w:r w:rsidRPr="004A305F">
              <w:rPr>
                <w:rFonts w:cs="Arial"/>
              </w:rPr>
              <w:t>Altranais</w:t>
            </w:r>
            <w:proofErr w:type="spellEnd"/>
            <w:r w:rsidRPr="004A305F">
              <w:rPr>
                <w:rFonts w:cs="Arial"/>
              </w:rPr>
              <w:t xml:space="preserve"> </w:t>
            </w:r>
            <w:proofErr w:type="spellStart"/>
            <w:r w:rsidRPr="004A305F">
              <w:rPr>
                <w:rFonts w:cs="Arial"/>
              </w:rPr>
              <w:t>agus</w:t>
            </w:r>
            <w:proofErr w:type="spellEnd"/>
            <w:r w:rsidRPr="004A305F">
              <w:rPr>
                <w:rFonts w:cs="Arial"/>
              </w:rPr>
              <w:t xml:space="preserve"> </w:t>
            </w:r>
            <w:proofErr w:type="spellStart"/>
            <w:r w:rsidRPr="004A305F">
              <w:rPr>
                <w:rFonts w:cs="Arial"/>
              </w:rPr>
              <w:t>Cnáimhseachais</w:t>
            </w:r>
            <w:proofErr w:type="spellEnd"/>
            <w:r w:rsidRPr="004A305F">
              <w:rPr>
                <w:rFonts w:cs="Arial"/>
              </w:rPr>
              <w:t xml:space="preserve"> </w:t>
            </w:r>
            <w:proofErr w:type="spellStart"/>
            <w:r w:rsidRPr="004A305F">
              <w:rPr>
                <w:rFonts w:cs="Arial"/>
              </w:rPr>
              <w:t>na</w:t>
            </w:r>
            <w:proofErr w:type="spellEnd"/>
            <w:r w:rsidRPr="004A305F">
              <w:rPr>
                <w:rFonts w:cs="Arial"/>
              </w:rPr>
              <w:t xml:space="preserve"> </w:t>
            </w:r>
            <w:proofErr w:type="spellStart"/>
            <w:r w:rsidRPr="004A305F">
              <w:rPr>
                <w:rFonts w:cs="Arial"/>
              </w:rPr>
              <w:t>hÉireann</w:t>
            </w:r>
            <w:proofErr w:type="spellEnd"/>
            <w:r w:rsidRPr="004A305F">
              <w:rPr>
                <w:rFonts w:cs="Arial"/>
              </w:rPr>
              <w:t>) for the role</w:t>
            </w:r>
          </w:p>
          <w:p w14:paraId="7A4F1966" w14:textId="77777777" w:rsidR="00140848" w:rsidRPr="004A305F" w:rsidRDefault="00140848" w:rsidP="00AE06F3">
            <w:pPr>
              <w:jc w:val="both"/>
              <w:rPr>
                <w:rFonts w:cs="Arial"/>
                <w:b/>
                <w:u w:val="single"/>
              </w:rPr>
            </w:pPr>
          </w:p>
        </w:tc>
      </w:tr>
      <w:tr w:rsidR="00140848" w:rsidRPr="004A305F" w14:paraId="1DD35C28" w14:textId="77777777" w:rsidTr="00AE06F3">
        <w:tc>
          <w:tcPr>
            <w:tcW w:w="421" w:type="dxa"/>
            <w:shd w:val="clear" w:color="auto" w:fill="auto"/>
          </w:tcPr>
          <w:p w14:paraId="3AD72654" w14:textId="77777777" w:rsidR="00140848" w:rsidRPr="004A305F" w:rsidRDefault="00140848" w:rsidP="00AE06F3">
            <w:pPr>
              <w:jc w:val="both"/>
              <w:rPr>
                <w:rFonts w:cs="Arial"/>
              </w:rPr>
            </w:pPr>
          </w:p>
        </w:tc>
        <w:tc>
          <w:tcPr>
            <w:tcW w:w="8595" w:type="dxa"/>
            <w:shd w:val="clear" w:color="auto" w:fill="auto"/>
          </w:tcPr>
          <w:p w14:paraId="6AE63D87" w14:textId="77777777" w:rsidR="00140848" w:rsidRPr="004A305F" w:rsidRDefault="00140848" w:rsidP="00AE06F3">
            <w:pPr>
              <w:jc w:val="center"/>
              <w:rPr>
                <w:rFonts w:cs="Arial"/>
                <w:b/>
              </w:rPr>
            </w:pPr>
            <w:r>
              <w:rPr>
                <w:rFonts w:cs="Arial"/>
                <w:b/>
              </w:rPr>
              <w:t xml:space="preserve">                     </w:t>
            </w:r>
            <w:r w:rsidRPr="004A305F">
              <w:rPr>
                <w:rFonts w:cs="Arial"/>
                <w:b/>
              </w:rPr>
              <w:t>And</w:t>
            </w:r>
          </w:p>
        </w:tc>
      </w:tr>
      <w:tr w:rsidR="00140848" w:rsidRPr="004A305F" w14:paraId="2FA0FCD3" w14:textId="77777777" w:rsidTr="00AE06F3">
        <w:tc>
          <w:tcPr>
            <w:tcW w:w="421" w:type="dxa"/>
            <w:shd w:val="clear" w:color="auto" w:fill="auto"/>
          </w:tcPr>
          <w:p w14:paraId="5083249A" w14:textId="77777777" w:rsidR="00140848" w:rsidRPr="004A305F" w:rsidRDefault="00140848" w:rsidP="00AE06F3">
            <w:pPr>
              <w:jc w:val="right"/>
              <w:rPr>
                <w:rFonts w:cs="Arial"/>
              </w:rPr>
            </w:pPr>
            <w:r w:rsidRPr="004A305F">
              <w:rPr>
                <w:rFonts w:cs="Arial"/>
              </w:rPr>
              <w:t>(ii)</w:t>
            </w:r>
          </w:p>
        </w:tc>
        <w:tc>
          <w:tcPr>
            <w:tcW w:w="8595" w:type="dxa"/>
            <w:shd w:val="clear" w:color="auto" w:fill="auto"/>
          </w:tcPr>
          <w:p w14:paraId="521FF904" w14:textId="77777777" w:rsidR="00140848" w:rsidRPr="004A305F" w:rsidRDefault="00140848" w:rsidP="00AE06F3">
            <w:pPr>
              <w:jc w:val="both"/>
              <w:rPr>
                <w:rFonts w:cs="Arial"/>
                <w:b/>
                <w:u w:val="single"/>
              </w:rPr>
            </w:pPr>
            <w:r w:rsidRPr="004A305F">
              <w:rPr>
                <w:rFonts w:cs="Arial"/>
              </w:rPr>
              <w:t>Confirm annual registration with NMBI to the HSE by way of the annual Patient Safety Assurance Certificate (PSAC).</w:t>
            </w:r>
          </w:p>
        </w:tc>
      </w:tr>
    </w:tbl>
    <w:p w14:paraId="4E0FF37B" w14:textId="77777777" w:rsidR="00140848" w:rsidRPr="004A305F" w:rsidRDefault="00140848" w:rsidP="00140848">
      <w:pPr>
        <w:rPr>
          <w:rFonts w:cs="Arial"/>
          <w:b/>
          <w:color w:val="FF0000"/>
        </w:rPr>
      </w:pPr>
    </w:p>
    <w:p w14:paraId="54FCA4CD" w14:textId="77777777" w:rsidR="00140848" w:rsidRPr="004A305F" w:rsidRDefault="00140848" w:rsidP="00140848">
      <w:pPr>
        <w:pStyle w:val="ListParagraph"/>
        <w:numPr>
          <w:ilvl w:val="0"/>
          <w:numId w:val="39"/>
        </w:numPr>
        <w:spacing w:after="0" w:line="240" w:lineRule="auto"/>
        <w:contextualSpacing w:val="0"/>
        <w:rPr>
          <w:rFonts w:cs="Arial"/>
          <w:b/>
        </w:rPr>
      </w:pPr>
      <w:r w:rsidRPr="004A305F">
        <w:rPr>
          <w:rFonts w:cs="Arial"/>
          <w:b/>
        </w:rPr>
        <w:t>Health</w:t>
      </w:r>
    </w:p>
    <w:p w14:paraId="7B4B349F" w14:textId="77777777" w:rsidR="00140848" w:rsidRPr="004A305F" w:rsidRDefault="00140848" w:rsidP="00140848">
      <w:pPr>
        <w:rPr>
          <w:rFonts w:cs="Arial"/>
        </w:rPr>
      </w:pPr>
      <w:r w:rsidRPr="004A305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2EA409" w14:textId="77777777" w:rsidR="00140848" w:rsidRPr="004A305F" w:rsidRDefault="00140848" w:rsidP="00140848">
      <w:pPr>
        <w:ind w:right="-766"/>
        <w:rPr>
          <w:rFonts w:cs="Arial"/>
          <w:b/>
          <w:bCs/>
        </w:rPr>
      </w:pPr>
    </w:p>
    <w:p w14:paraId="0B57B2E2" w14:textId="1083D3BB" w:rsidR="00140848" w:rsidRPr="00140848" w:rsidRDefault="00140848" w:rsidP="00140848">
      <w:pPr>
        <w:pStyle w:val="ListParagraph"/>
        <w:numPr>
          <w:ilvl w:val="0"/>
          <w:numId w:val="39"/>
        </w:numPr>
        <w:ind w:right="-766"/>
        <w:rPr>
          <w:rFonts w:cs="Arial"/>
          <w:iCs/>
        </w:rPr>
      </w:pPr>
      <w:r w:rsidRPr="00140848">
        <w:rPr>
          <w:rFonts w:cs="Arial"/>
          <w:b/>
          <w:bCs/>
        </w:rPr>
        <w:t>Character</w:t>
      </w:r>
    </w:p>
    <w:p w14:paraId="3E7631C3" w14:textId="77777777" w:rsidR="00140848" w:rsidRPr="004A305F" w:rsidRDefault="00140848" w:rsidP="00140848">
      <w:pPr>
        <w:ind w:right="-766"/>
        <w:rPr>
          <w:rFonts w:cs="Arial"/>
        </w:rPr>
      </w:pPr>
      <w:r w:rsidRPr="004A305F">
        <w:rPr>
          <w:rFonts w:cs="Arial"/>
        </w:rPr>
        <w:t>Candidate for and any person holding the office must be of good character</w:t>
      </w:r>
    </w:p>
    <w:p w14:paraId="575FDF61" w14:textId="77777777" w:rsidR="00140848" w:rsidRDefault="00140848" w:rsidP="00140848">
      <w:pPr>
        <w:widowControl w:val="0"/>
        <w:autoSpaceDE w:val="0"/>
        <w:autoSpaceDN w:val="0"/>
        <w:adjustRightInd w:val="0"/>
        <w:rPr>
          <w:rFonts w:cs="Arial"/>
          <w:bCs/>
          <w:color w:val="00009C"/>
        </w:rPr>
      </w:pPr>
    </w:p>
    <w:p w14:paraId="7F16C49C" w14:textId="1D88CB3F"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188374543"/>
      <w:bookmarkEnd w:id="19"/>
      <w:r w:rsidRPr="0062775A">
        <w:lastRenderedPageBreak/>
        <w:t xml:space="preserve">Appendix 2: </w:t>
      </w:r>
      <w:r>
        <w:t>EEA,</w:t>
      </w:r>
      <w:r w:rsidRPr="0062775A">
        <w:t xml:space="preserve"> Swiss, British and Non-EEA Applicants </w:t>
      </w:r>
      <w:bookmarkEnd w:id="20"/>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140848">
      <w:pPr>
        <w:spacing w:before="240" w:after="0" w:line="240" w:lineRule="auto"/>
        <w:ind w:left="360" w:firstLine="360"/>
        <w:jc w:val="center"/>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140848">
      <w:pPr>
        <w:spacing w:before="240" w:after="0" w:line="240" w:lineRule="auto"/>
        <w:ind w:firstLine="720"/>
        <w:jc w:val="center"/>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140848">
      <w:pPr>
        <w:spacing w:before="240" w:after="0" w:line="240" w:lineRule="auto"/>
        <w:ind w:firstLine="720"/>
        <w:jc w:val="center"/>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140848">
      <w:pPr>
        <w:pStyle w:val="ListParagraph"/>
        <w:spacing w:before="240" w:after="0" w:line="240" w:lineRule="auto"/>
        <w:ind w:left="0" w:firstLine="720"/>
        <w:jc w:val="center"/>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140848">
      <w:pPr>
        <w:spacing w:before="240" w:after="0" w:line="240" w:lineRule="auto"/>
        <w:ind w:firstLine="720"/>
        <w:jc w:val="center"/>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188374544"/>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297E56"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297E56"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297E56"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297E56"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1B425881" w:rsidR="006F0040" w:rsidRDefault="006F0040" w:rsidP="006F0040"/>
    <w:p w14:paraId="5B4A1398" w14:textId="17E9975E" w:rsidR="00140848" w:rsidRDefault="00140848" w:rsidP="006F0040"/>
    <w:p w14:paraId="7760BFF8" w14:textId="77777777" w:rsidR="00140848" w:rsidRDefault="00140848" w:rsidP="006F0040"/>
    <w:p w14:paraId="05891266" w14:textId="77777777" w:rsidR="006F0040" w:rsidRDefault="006F0040" w:rsidP="006F0040">
      <w:pPr>
        <w:pStyle w:val="Heading2"/>
      </w:pPr>
      <w:bookmarkStart w:id="26" w:name="_Appendix:_5_Panel"/>
      <w:bookmarkStart w:id="27" w:name="_Toc188374546"/>
      <w:bookmarkEnd w:id="26"/>
      <w:r>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 xml:space="preserve">to you will include the </w:t>
      </w:r>
      <w:r>
        <w:rPr>
          <w:rFonts w:cs="Arial"/>
          <w:szCs w:val="20"/>
        </w:rPr>
        <w:lastRenderedPageBreak/>
        <w:t>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lastRenderedPageBreak/>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14ECE92B" w14:textId="6F705F7A"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97E56">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19"/>
  </w:num>
  <w:num w:numId="20">
    <w:abstractNumId w:val="21"/>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8"/>
  </w:num>
  <w:num w:numId="33">
    <w:abstractNumId w:val="5"/>
  </w:num>
  <w:num w:numId="34">
    <w:abstractNumId w:val="34"/>
  </w:num>
  <w:num w:numId="35">
    <w:abstractNumId w:val="25"/>
  </w:num>
  <w:num w:numId="36">
    <w:abstractNumId w:val="1"/>
  </w:num>
  <w:num w:numId="37">
    <w:abstractNumId w:val="14"/>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140848"/>
    <w:rsid w:val="00297E56"/>
    <w:rsid w:val="00430805"/>
    <w:rsid w:val="006D0E0A"/>
    <w:rsid w:val="006F0040"/>
    <w:rsid w:val="00A21349"/>
    <w:rsid w:val="00A913D7"/>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Adeniyi.adeolokun@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6196</Words>
  <Characters>35321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Adeniyi Adeolokun</cp:lastModifiedBy>
  <cp:revision>8</cp:revision>
  <dcterms:created xsi:type="dcterms:W3CDTF">2025-07-01T13:46:00Z</dcterms:created>
  <dcterms:modified xsi:type="dcterms:W3CDTF">2025-08-07T14:22:00Z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